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ADCB" w14:textId="58ACDFE5" w:rsidR="009B3B10" w:rsidRPr="009B3B10" w:rsidRDefault="005E7C12" w:rsidP="009B3B10">
      <w:pPr>
        <w:keepNext/>
        <w:keepLines/>
        <w:jc w:val="both"/>
        <w:rPr>
          <w:b/>
          <w:bCs/>
          <w:u w:val="single"/>
        </w:rPr>
      </w:pPr>
      <w:r>
        <w:rPr>
          <w:b/>
          <w:bCs/>
          <w:u w:val="single"/>
        </w:rPr>
        <w:t>PAVEMENT MARKINGS</w:t>
      </w:r>
      <w:r w:rsidR="009B3B10" w:rsidRPr="009B3B10">
        <w:rPr>
          <w:b/>
          <w:bCs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B3B10" w:rsidRPr="004F1661" w14:paraId="2FA1124B" w14:textId="77777777" w:rsidTr="007476E3">
        <w:tc>
          <w:tcPr>
            <w:tcW w:w="3192" w:type="dxa"/>
          </w:tcPr>
          <w:p w14:paraId="69C80EC7" w14:textId="5B001370" w:rsidR="009B3B10" w:rsidRPr="004F1661" w:rsidRDefault="009B3B10" w:rsidP="007476E3">
            <w:pPr>
              <w:keepNext/>
              <w:keepLines/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r w:rsidR="005E7C12">
              <w:rPr>
                <w:sz w:val="16"/>
              </w:rPr>
              <w:t>5</w:t>
            </w:r>
            <w:r>
              <w:rPr>
                <w:sz w:val="16"/>
              </w:rPr>
              <w:t>-</w:t>
            </w:r>
            <w:r w:rsidR="005E7C12">
              <w:rPr>
                <w:sz w:val="16"/>
              </w:rPr>
              <w:t>19</w:t>
            </w:r>
            <w:r>
              <w:rPr>
                <w:sz w:val="16"/>
              </w:rPr>
              <w:t>-26)</w:t>
            </w:r>
            <w:r w:rsidR="00472829">
              <w:rPr>
                <w:sz w:val="16"/>
              </w:rPr>
              <w:t>(Rev. 6-16-26)</w:t>
            </w:r>
          </w:p>
        </w:tc>
        <w:tc>
          <w:tcPr>
            <w:tcW w:w="3192" w:type="dxa"/>
          </w:tcPr>
          <w:p w14:paraId="3AEBE546" w14:textId="278404A4" w:rsidR="009B3B10" w:rsidRPr="004F1661" w:rsidRDefault="005E7C12" w:rsidP="007476E3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1087, 1205</w:t>
            </w:r>
          </w:p>
        </w:tc>
        <w:tc>
          <w:tcPr>
            <w:tcW w:w="3192" w:type="dxa"/>
          </w:tcPr>
          <w:p w14:paraId="06C78760" w14:textId="53AE38F7" w:rsidR="009B3B10" w:rsidRPr="004F1661" w:rsidRDefault="009B3B10" w:rsidP="007476E3">
            <w:pPr>
              <w:keepNext/>
              <w:keepLines/>
              <w:jc w:val="right"/>
              <w:rPr>
                <w:sz w:val="16"/>
              </w:rPr>
            </w:pPr>
            <w:r w:rsidRPr="004F1661">
              <w:rPr>
                <w:sz w:val="16"/>
              </w:rPr>
              <w:t>SP1</w:t>
            </w:r>
            <w:r w:rsidR="005E7C12">
              <w:rPr>
                <w:sz w:val="16"/>
              </w:rPr>
              <w:t>2</w:t>
            </w:r>
            <w:r w:rsidRPr="004F1661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="005E7C12">
              <w:rPr>
                <w:sz w:val="16"/>
              </w:rPr>
              <w:t>04</w:t>
            </w:r>
          </w:p>
        </w:tc>
      </w:tr>
    </w:tbl>
    <w:p w14:paraId="0B72ADEF" w14:textId="77777777" w:rsidR="009B3B10" w:rsidRDefault="009B3B10" w:rsidP="009B3B10">
      <w:pPr>
        <w:keepNext/>
        <w:keepLines/>
        <w:jc w:val="both"/>
        <w:rPr>
          <w:b/>
          <w:bCs/>
        </w:rPr>
      </w:pPr>
    </w:p>
    <w:p w14:paraId="67CADC6D" w14:textId="3753EADD" w:rsidR="00BC3E6A" w:rsidRDefault="00BC3E6A" w:rsidP="00BC3E6A">
      <w:pPr>
        <w:jc w:val="both"/>
      </w:pPr>
      <w:r w:rsidRPr="007B02C9">
        <w:t xml:space="preserve">Revise the </w:t>
      </w:r>
      <w:r w:rsidRPr="007B02C9">
        <w:rPr>
          <w:i/>
        </w:rPr>
        <w:t xml:space="preserve">Standard Specifications </w:t>
      </w:r>
      <w:r w:rsidRPr="007B02C9">
        <w:t>as follows:</w:t>
      </w:r>
    </w:p>
    <w:p w14:paraId="46F4C5C5" w14:textId="77777777" w:rsidR="00BC3E6A" w:rsidRDefault="00BC3E6A" w:rsidP="005E7C12">
      <w:pPr>
        <w:keepNext/>
        <w:keepLines/>
        <w:jc w:val="both"/>
        <w:rPr>
          <w:b/>
          <w:bCs/>
        </w:rPr>
      </w:pPr>
    </w:p>
    <w:p w14:paraId="55881ABA" w14:textId="6D614083" w:rsidR="005E7C12" w:rsidRDefault="005E7C12" w:rsidP="005E7C12">
      <w:pPr>
        <w:keepNext/>
        <w:keepLines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2(A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Paint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15</w:t>
      </w:r>
      <w:r>
        <w:t>, replace “</w:t>
      </w:r>
      <w:r w:rsidRPr="005E7C12">
        <w:t>TT--P-1952</w:t>
      </w:r>
      <w:r>
        <w:t>” with “</w:t>
      </w:r>
      <w:r w:rsidRPr="005E7C12">
        <w:t>TT--P-1952, Type III</w:t>
      </w:r>
      <w:r>
        <w:t>”.</w:t>
      </w:r>
    </w:p>
    <w:p w14:paraId="0316A8B1" w14:textId="77777777" w:rsidR="0081312B" w:rsidRDefault="0081312B" w:rsidP="009B3B10">
      <w:pPr>
        <w:keepNext/>
        <w:keepLines/>
        <w:jc w:val="both"/>
        <w:rPr>
          <w:b/>
          <w:bCs/>
        </w:rPr>
      </w:pPr>
    </w:p>
    <w:p w14:paraId="0979BC60" w14:textId="7E34858F" w:rsidR="005E7C12" w:rsidRDefault="005E7C12" w:rsidP="005E7C12">
      <w:pPr>
        <w:keepNext/>
        <w:keepLines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>s 28-33</w:t>
      </w:r>
      <w:r>
        <w:t xml:space="preserve">, replace the </w:t>
      </w:r>
      <w:r w:rsidR="009062A5">
        <w:t>first through third paragraph</w:t>
      </w:r>
      <w:r>
        <w:t xml:space="preserve"> and </w:t>
      </w:r>
      <w:r w:rsidR="009062A5">
        <w:t xml:space="preserve">the </w:t>
      </w:r>
      <w:r>
        <w:t>table with the following:</w:t>
      </w:r>
    </w:p>
    <w:p w14:paraId="47F1D524" w14:textId="77777777" w:rsidR="0081312B" w:rsidRDefault="0081312B" w:rsidP="009B3B10">
      <w:pPr>
        <w:keepNext/>
        <w:keepLines/>
        <w:jc w:val="both"/>
        <w:rPr>
          <w:b/>
          <w:bCs/>
        </w:rPr>
      </w:pPr>
    </w:p>
    <w:p w14:paraId="42D17956" w14:textId="6094C91E" w:rsidR="005E7C12" w:rsidRPr="001331BB" w:rsidRDefault="005E7C12" w:rsidP="005E7C12">
      <w:pPr>
        <w:spacing w:after="120"/>
        <w:jc w:val="both"/>
        <w:rPr>
          <w:b/>
        </w:rPr>
      </w:pPr>
      <w:r>
        <w:rPr>
          <w:b/>
        </w:rPr>
        <w:t xml:space="preserve">(C) </w:t>
      </w:r>
      <w:r w:rsidRPr="001331BB">
        <w:rPr>
          <w:b/>
        </w:rPr>
        <w:t xml:space="preserve">Thermoplastic </w:t>
      </w:r>
      <w:r>
        <w:rPr>
          <w:b/>
        </w:rPr>
        <w:t xml:space="preserve">and Integrated Multipolymer (IMP) </w:t>
      </w:r>
      <w:r w:rsidRPr="001331BB">
        <w:rPr>
          <w:b/>
        </w:rPr>
        <w:t>Composition</w:t>
      </w:r>
    </w:p>
    <w:p w14:paraId="7928A993" w14:textId="6DF55367" w:rsidR="005E7C12" w:rsidRDefault="005E7C12" w:rsidP="005E7C12">
      <w:pPr>
        <w:ind w:left="360"/>
      </w:pPr>
      <w:r w:rsidRPr="001331BB">
        <w:t>Use thermoplastic alkyd/maleic pavement markings composed of the materials in Table 1087-1</w:t>
      </w:r>
      <w:r>
        <w:t xml:space="preserve">A and </w:t>
      </w:r>
      <w:r w:rsidR="00256372">
        <w:t>i</w:t>
      </w:r>
      <w:r>
        <w:t xml:space="preserve">ntegrated </w:t>
      </w:r>
      <w:r w:rsidR="00256372">
        <w:t>m</w:t>
      </w:r>
      <w:r>
        <w:t xml:space="preserve">ultipolymer markings composed of the materials in </w:t>
      </w:r>
      <w:r w:rsidR="00131215">
        <w:t>T</w:t>
      </w:r>
      <w:r>
        <w:t>able 1087-1B</w:t>
      </w:r>
      <w:r w:rsidRPr="001331BB">
        <w:t>.</w:t>
      </w:r>
    </w:p>
    <w:p w14:paraId="2B60436F" w14:textId="77777777" w:rsidR="005E7C12" w:rsidRDefault="005E7C12" w:rsidP="005E7C12">
      <w:pPr>
        <w:ind w:left="360"/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137"/>
        <w:gridCol w:w="3213"/>
      </w:tblGrid>
      <w:tr w:rsidR="005E7C12" w:rsidRPr="001331BB" w14:paraId="107A9FED" w14:textId="77777777" w:rsidTr="007E206E">
        <w:trPr>
          <w:jc w:val="center"/>
        </w:trPr>
        <w:tc>
          <w:tcPr>
            <w:tcW w:w="5000" w:type="pct"/>
            <w:gridSpan w:val="2"/>
            <w:vAlign w:val="center"/>
          </w:tcPr>
          <w:p w14:paraId="18730B06" w14:textId="43273ECD" w:rsidR="005E7C12" w:rsidRPr="001331BB" w:rsidRDefault="00171CE9" w:rsidP="006A310F">
            <w:pPr>
              <w:keepNext/>
              <w:keepLines/>
              <w:jc w:val="center"/>
            </w:pPr>
            <w:r>
              <w:rPr>
                <w:b/>
              </w:rPr>
              <w:t>TABLE 1087-1A                                                                                                                         P</w:t>
            </w:r>
            <w:r w:rsidR="005E7C12" w:rsidRPr="001331BB">
              <w:rPr>
                <w:b/>
              </w:rPr>
              <w:t xml:space="preserve">HYSICAL PROPERTIES </w:t>
            </w:r>
            <w:r w:rsidR="005E7C12">
              <w:rPr>
                <w:b/>
              </w:rPr>
              <w:br/>
            </w:r>
            <w:r w:rsidR="005E7C12" w:rsidRPr="001331BB">
              <w:rPr>
                <w:b/>
              </w:rPr>
              <w:t>OF THERMOPLASTIC PAVEMENT MARKINGS</w:t>
            </w:r>
          </w:p>
        </w:tc>
      </w:tr>
      <w:tr w:rsidR="005E7C12" w:rsidRPr="001331BB" w14:paraId="6237DA8C" w14:textId="77777777" w:rsidTr="007E206E">
        <w:trPr>
          <w:jc w:val="center"/>
        </w:trPr>
        <w:tc>
          <w:tcPr>
            <w:tcW w:w="3282" w:type="pct"/>
            <w:vAlign w:val="center"/>
          </w:tcPr>
          <w:p w14:paraId="4B560A28" w14:textId="77777777" w:rsidR="005E7C12" w:rsidRPr="001331BB" w:rsidRDefault="005E7C12" w:rsidP="006A310F">
            <w:pPr>
              <w:keepNext/>
              <w:keepLines/>
              <w:jc w:val="center"/>
              <w:rPr>
                <w:b/>
              </w:rPr>
            </w:pPr>
            <w:r w:rsidRPr="001331BB">
              <w:rPr>
                <w:b/>
              </w:rPr>
              <w:t>Component</w:t>
            </w:r>
          </w:p>
        </w:tc>
        <w:tc>
          <w:tcPr>
            <w:tcW w:w="1718" w:type="pct"/>
            <w:vAlign w:val="center"/>
          </w:tcPr>
          <w:p w14:paraId="3ED0902D" w14:textId="77777777" w:rsidR="005E7C12" w:rsidRPr="001331BB" w:rsidRDefault="005E7C12" w:rsidP="006A310F">
            <w:pPr>
              <w:keepNext/>
              <w:keepLines/>
              <w:jc w:val="center"/>
              <w:rPr>
                <w:b/>
              </w:rPr>
            </w:pPr>
            <w:r w:rsidRPr="001331BB">
              <w:rPr>
                <w:b/>
              </w:rPr>
              <w:t>By Weight</w:t>
            </w:r>
          </w:p>
        </w:tc>
      </w:tr>
      <w:tr w:rsidR="005E7C12" w:rsidRPr="001331BB" w14:paraId="35F93FA3" w14:textId="77777777" w:rsidTr="007E206E">
        <w:trPr>
          <w:jc w:val="center"/>
        </w:trPr>
        <w:tc>
          <w:tcPr>
            <w:tcW w:w="3282" w:type="pct"/>
            <w:vAlign w:val="center"/>
          </w:tcPr>
          <w:p w14:paraId="13C822A6" w14:textId="77777777" w:rsidR="005E7C12" w:rsidRPr="001331BB" w:rsidRDefault="005E7C12" w:rsidP="006A310F">
            <w:pPr>
              <w:keepNext/>
              <w:keepLines/>
              <w:jc w:val="center"/>
            </w:pPr>
            <w:r w:rsidRPr="001331BB">
              <w:t>Alkyd/Maleic Binder</w:t>
            </w:r>
          </w:p>
        </w:tc>
        <w:tc>
          <w:tcPr>
            <w:tcW w:w="1718" w:type="pct"/>
            <w:vAlign w:val="center"/>
          </w:tcPr>
          <w:p w14:paraId="7FE60275" w14:textId="77777777" w:rsidR="005E7C12" w:rsidRPr="001331BB" w:rsidRDefault="005E7C12" w:rsidP="006A310F">
            <w:pPr>
              <w:keepNext/>
              <w:keepLines/>
              <w:jc w:val="center"/>
            </w:pPr>
            <w:r w:rsidRPr="001331BB">
              <w:t>18.0% Min</w:t>
            </w:r>
          </w:p>
        </w:tc>
      </w:tr>
      <w:tr w:rsidR="005E7C12" w:rsidRPr="001331BB" w14:paraId="6CABEC9A" w14:textId="77777777" w:rsidTr="007E206E">
        <w:trPr>
          <w:jc w:val="center"/>
        </w:trPr>
        <w:tc>
          <w:tcPr>
            <w:tcW w:w="3282" w:type="pct"/>
            <w:vAlign w:val="center"/>
          </w:tcPr>
          <w:p w14:paraId="360B10E1" w14:textId="5EBE9019" w:rsidR="005E7C12" w:rsidRPr="001331BB" w:rsidRDefault="005E7C12" w:rsidP="006A310F">
            <w:pPr>
              <w:keepNext/>
              <w:keepLines/>
              <w:jc w:val="center"/>
            </w:pPr>
            <w:r>
              <w:t xml:space="preserve">Premixed </w:t>
            </w:r>
            <w:r w:rsidRPr="001331BB">
              <w:t xml:space="preserve">Glass Beads </w:t>
            </w:r>
            <w:r>
              <w:t xml:space="preserve"> (AASHTO M 247 </w:t>
            </w:r>
            <w:r w:rsidR="003335FF">
              <w:t xml:space="preserve">– </w:t>
            </w:r>
            <w:r>
              <w:t>Type 3)</w:t>
            </w:r>
          </w:p>
        </w:tc>
        <w:tc>
          <w:tcPr>
            <w:tcW w:w="1718" w:type="pct"/>
            <w:vAlign w:val="center"/>
          </w:tcPr>
          <w:p w14:paraId="61935836" w14:textId="77777777" w:rsidR="005E7C12" w:rsidRPr="001331BB" w:rsidRDefault="005E7C12" w:rsidP="006A310F">
            <w:pPr>
              <w:keepNext/>
              <w:keepLines/>
              <w:jc w:val="center"/>
            </w:pPr>
            <w:r>
              <w:t>40</w:t>
            </w:r>
            <w:r w:rsidRPr="001331BB">
              <w:t>.0% Min</w:t>
            </w:r>
          </w:p>
        </w:tc>
      </w:tr>
      <w:tr w:rsidR="005E7C12" w:rsidRPr="001331BB" w14:paraId="7B41FC63" w14:textId="77777777" w:rsidTr="005E7C12">
        <w:trPr>
          <w:trHeight w:val="620"/>
          <w:jc w:val="center"/>
        </w:trPr>
        <w:tc>
          <w:tcPr>
            <w:tcW w:w="3282" w:type="pct"/>
            <w:vAlign w:val="center"/>
          </w:tcPr>
          <w:p w14:paraId="1AA0B9BF" w14:textId="77777777" w:rsidR="005E7C12" w:rsidRPr="001331BB" w:rsidRDefault="005E7C12" w:rsidP="006A310F">
            <w:pPr>
              <w:keepNext/>
              <w:keepLines/>
              <w:jc w:val="center"/>
            </w:pPr>
            <w:r w:rsidRPr="001331BB">
              <w:t>Titanium Dioxide Pigment (ASTM D476 Type 2)</w:t>
            </w:r>
          </w:p>
        </w:tc>
        <w:tc>
          <w:tcPr>
            <w:tcW w:w="1718" w:type="pct"/>
            <w:vAlign w:val="center"/>
          </w:tcPr>
          <w:p w14:paraId="23029A26" w14:textId="77777777" w:rsidR="005E7C12" w:rsidRDefault="005E7C12" w:rsidP="006A310F">
            <w:pPr>
              <w:keepNext/>
              <w:keepLines/>
              <w:jc w:val="center"/>
            </w:pPr>
            <w:r w:rsidRPr="001331BB">
              <w:t>10.0% Min.</w:t>
            </w:r>
            <w:r>
              <w:t xml:space="preserve"> (white)</w:t>
            </w:r>
          </w:p>
          <w:p w14:paraId="7B1F4FB6" w14:textId="7E40BAAF" w:rsidR="005E7C12" w:rsidRPr="001331BB" w:rsidRDefault="005E7C12" w:rsidP="006A310F">
            <w:pPr>
              <w:keepNext/>
              <w:keepLines/>
              <w:jc w:val="center"/>
            </w:pPr>
            <w:r>
              <w:t xml:space="preserve">1.5% Min. (yellow) </w:t>
            </w:r>
          </w:p>
        </w:tc>
      </w:tr>
    </w:tbl>
    <w:p w14:paraId="529A791A" w14:textId="77777777" w:rsidR="005E7C12" w:rsidRDefault="005E7C12"/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137"/>
        <w:gridCol w:w="3213"/>
      </w:tblGrid>
      <w:tr w:rsidR="005E7C12" w:rsidRPr="001331BB" w14:paraId="1A5D4F03" w14:textId="77777777" w:rsidTr="007E206E">
        <w:trPr>
          <w:jc w:val="center"/>
        </w:trPr>
        <w:tc>
          <w:tcPr>
            <w:tcW w:w="5000" w:type="pct"/>
            <w:gridSpan w:val="2"/>
            <w:vAlign w:val="center"/>
          </w:tcPr>
          <w:p w14:paraId="6B32E3E2" w14:textId="3631E430" w:rsidR="005E7C12" w:rsidRPr="001331BB" w:rsidRDefault="00171CE9" w:rsidP="006A310F">
            <w:pPr>
              <w:keepNext/>
              <w:keepLines/>
              <w:jc w:val="center"/>
            </w:pPr>
            <w:r>
              <w:rPr>
                <w:b/>
              </w:rPr>
              <w:t>TABLE 1087-1B                                                                                                                 P</w:t>
            </w:r>
            <w:r w:rsidR="005E7C12" w:rsidRPr="001331BB">
              <w:rPr>
                <w:b/>
              </w:rPr>
              <w:t xml:space="preserve">HYSICAL PROPERTIES </w:t>
            </w:r>
            <w:r w:rsidR="005E7C12">
              <w:rPr>
                <w:b/>
              </w:rPr>
              <w:br/>
            </w:r>
            <w:r w:rsidR="005E7C12" w:rsidRPr="001331BB">
              <w:rPr>
                <w:b/>
              </w:rPr>
              <w:t xml:space="preserve">OF </w:t>
            </w:r>
            <w:r w:rsidR="005E7C12">
              <w:rPr>
                <w:b/>
              </w:rPr>
              <w:t>INTEGRATED MULTIPOLYMER (IMP)</w:t>
            </w:r>
            <w:r w:rsidR="005E7C12" w:rsidRPr="001331BB">
              <w:rPr>
                <w:b/>
              </w:rPr>
              <w:t xml:space="preserve"> PAVEMENT MARKINGS</w:t>
            </w:r>
          </w:p>
        </w:tc>
      </w:tr>
      <w:tr w:rsidR="005E7C12" w:rsidRPr="001331BB" w14:paraId="152AEEFC" w14:textId="77777777" w:rsidTr="007E206E">
        <w:trPr>
          <w:jc w:val="center"/>
        </w:trPr>
        <w:tc>
          <w:tcPr>
            <w:tcW w:w="3282" w:type="pct"/>
            <w:vAlign w:val="center"/>
          </w:tcPr>
          <w:p w14:paraId="08ACEDF3" w14:textId="77777777" w:rsidR="005E7C12" w:rsidRPr="001331BB" w:rsidRDefault="005E7C12" w:rsidP="006A310F">
            <w:pPr>
              <w:keepNext/>
              <w:keepLines/>
              <w:jc w:val="center"/>
              <w:rPr>
                <w:b/>
              </w:rPr>
            </w:pPr>
            <w:r w:rsidRPr="001331BB">
              <w:rPr>
                <w:b/>
              </w:rPr>
              <w:t>Component</w:t>
            </w:r>
          </w:p>
        </w:tc>
        <w:tc>
          <w:tcPr>
            <w:tcW w:w="1718" w:type="pct"/>
            <w:vAlign w:val="center"/>
          </w:tcPr>
          <w:p w14:paraId="6D313E2B" w14:textId="77777777" w:rsidR="005E7C12" w:rsidRPr="001331BB" w:rsidRDefault="005E7C12" w:rsidP="006A310F">
            <w:pPr>
              <w:keepNext/>
              <w:keepLines/>
              <w:jc w:val="center"/>
              <w:rPr>
                <w:b/>
              </w:rPr>
            </w:pPr>
            <w:r w:rsidRPr="001331BB">
              <w:rPr>
                <w:b/>
              </w:rPr>
              <w:t>By Weight</w:t>
            </w:r>
          </w:p>
        </w:tc>
      </w:tr>
      <w:tr w:rsidR="005E7C12" w:rsidRPr="001331BB" w14:paraId="61A35CAF" w14:textId="77777777" w:rsidTr="007E206E">
        <w:trPr>
          <w:jc w:val="center"/>
        </w:trPr>
        <w:tc>
          <w:tcPr>
            <w:tcW w:w="3282" w:type="pct"/>
            <w:vAlign w:val="center"/>
          </w:tcPr>
          <w:p w14:paraId="2B1EFAA9" w14:textId="77777777" w:rsidR="005E7C12" w:rsidRPr="001331BB" w:rsidRDefault="005E7C12" w:rsidP="006A310F">
            <w:pPr>
              <w:keepNext/>
              <w:keepLines/>
              <w:jc w:val="center"/>
            </w:pPr>
            <w:r w:rsidRPr="001331BB">
              <w:t>Binder</w:t>
            </w:r>
          </w:p>
        </w:tc>
        <w:tc>
          <w:tcPr>
            <w:tcW w:w="1718" w:type="pct"/>
            <w:vAlign w:val="center"/>
          </w:tcPr>
          <w:p w14:paraId="5E82F950" w14:textId="77777777" w:rsidR="005E7C12" w:rsidRPr="001331BB" w:rsidRDefault="005E7C12" w:rsidP="006A310F">
            <w:pPr>
              <w:keepNext/>
              <w:keepLines/>
              <w:jc w:val="center"/>
            </w:pPr>
            <w:r>
              <w:t>21</w:t>
            </w:r>
            <w:r w:rsidRPr="001331BB">
              <w:t>.0% Min</w:t>
            </w:r>
          </w:p>
        </w:tc>
      </w:tr>
      <w:tr w:rsidR="005E7C12" w:rsidRPr="001331BB" w14:paraId="17D55C89" w14:textId="77777777" w:rsidTr="007E206E">
        <w:trPr>
          <w:jc w:val="center"/>
        </w:trPr>
        <w:tc>
          <w:tcPr>
            <w:tcW w:w="3282" w:type="pct"/>
            <w:vAlign w:val="center"/>
          </w:tcPr>
          <w:p w14:paraId="5327919F" w14:textId="1446D12D" w:rsidR="005E7C12" w:rsidRPr="001331BB" w:rsidRDefault="005E7C12" w:rsidP="006A310F">
            <w:pPr>
              <w:keepNext/>
              <w:keepLines/>
              <w:jc w:val="center"/>
            </w:pPr>
            <w:r>
              <w:t xml:space="preserve">Premixed </w:t>
            </w:r>
            <w:r w:rsidRPr="001331BB">
              <w:t xml:space="preserve">Glass Beads </w:t>
            </w:r>
            <w:r>
              <w:t xml:space="preserve"> (AASHTO M 247 – Type 3)</w:t>
            </w:r>
          </w:p>
        </w:tc>
        <w:tc>
          <w:tcPr>
            <w:tcW w:w="1718" w:type="pct"/>
            <w:vAlign w:val="center"/>
          </w:tcPr>
          <w:p w14:paraId="300A57C1" w14:textId="77777777" w:rsidR="005E7C12" w:rsidRPr="001331BB" w:rsidRDefault="005E7C12" w:rsidP="006A310F">
            <w:pPr>
              <w:keepNext/>
              <w:keepLines/>
              <w:jc w:val="center"/>
            </w:pPr>
            <w:r>
              <w:t>40</w:t>
            </w:r>
            <w:r w:rsidRPr="001331BB">
              <w:t>.0% Min</w:t>
            </w:r>
          </w:p>
        </w:tc>
      </w:tr>
      <w:tr w:rsidR="005E7C12" w:rsidRPr="001331BB" w14:paraId="179C448E" w14:textId="77777777" w:rsidTr="007E206E">
        <w:trPr>
          <w:jc w:val="center"/>
        </w:trPr>
        <w:tc>
          <w:tcPr>
            <w:tcW w:w="3282" w:type="pct"/>
            <w:vAlign w:val="center"/>
          </w:tcPr>
          <w:p w14:paraId="6F4BA9F1" w14:textId="77777777" w:rsidR="005E7C12" w:rsidRPr="00B359E4" w:rsidRDefault="005E7C12" w:rsidP="006A310F">
            <w:pPr>
              <w:keepNext/>
              <w:keepLines/>
              <w:jc w:val="center"/>
              <w:rPr>
                <w:lang w:val="fr-FR"/>
              </w:rPr>
            </w:pPr>
            <w:r w:rsidRPr="00B359E4">
              <w:rPr>
                <w:lang w:val="fr-FR"/>
              </w:rPr>
              <w:t xml:space="preserve">Titanium </w:t>
            </w:r>
            <w:proofErr w:type="spellStart"/>
            <w:r w:rsidRPr="00B359E4">
              <w:rPr>
                <w:lang w:val="fr-FR"/>
              </w:rPr>
              <w:t>Dioxide</w:t>
            </w:r>
            <w:proofErr w:type="spellEnd"/>
            <w:r w:rsidRPr="00B359E4">
              <w:rPr>
                <w:lang w:val="fr-FR"/>
              </w:rPr>
              <w:t xml:space="preserve"> Pigment (ASTM D476 Type 2)</w:t>
            </w:r>
          </w:p>
        </w:tc>
        <w:tc>
          <w:tcPr>
            <w:tcW w:w="1718" w:type="pct"/>
            <w:vAlign w:val="center"/>
          </w:tcPr>
          <w:p w14:paraId="44C368E7" w14:textId="77777777" w:rsidR="005E7C12" w:rsidRPr="001331BB" w:rsidRDefault="005E7C12" w:rsidP="006A310F">
            <w:pPr>
              <w:keepNext/>
              <w:keepLines/>
              <w:jc w:val="center"/>
            </w:pPr>
            <w:r w:rsidRPr="001331BB">
              <w:t>10.0% Min.</w:t>
            </w:r>
            <w:r>
              <w:t xml:space="preserve"> (white only)</w:t>
            </w:r>
          </w:p>
        </w:tc>
      </w:tr>
      <w:tr w:rsidR="005E7C12" w:rsidRPr="001331BB" w14:paraId="5604175D" w14:textId="77777777" w:rsidTr="006A310F">
        <w:trPr>
          <w:trHeight w:val="70"/>
          <w:jc w:val="center"/>
        </w:trPr>
        <w:tc>
          <w:tcPr>
            <w:tcW w:w="3282" w:type="pct"/>
            <w:vAlign w:val="center"/>
          </w:tcPr>
          <w:p w14:paraId="60FEBEDF" w14:textId="77777777" w:rsidR="005E7C12" w:rsidRPr="00B359E4" w:rsidRDefault="005E7C12" w:rsidP="006A310F">
            <w:pPr>
              <w:keepNext/>
              <w:keepLines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Inert</w:t>
            </w:r>
            <w:proofErr w:type="spellEnd"/>
            <w:r>
              <w:rPr>
                <w:lang w:val="fr-FR"/>
              </w:rPr>
              <w:t xml:space="preserve"> Filler</w:t>
            </w:r>
          </w:p>
        </w:tc>
        <w:tc>
          <w:tcPr>
            <w:tcW w:w="1718" w:type="pct"/>
            <w:vAlign w:val="center"/>
          </w:tcPr>
          <w:p w14:paraId="27ED4F33" w14:textId="77777777" w:rsidR="005E7C12" w:rsidRPr="001331BB" w:rsidRDefault="005E7C12" w:rsidP="006A310F">
            <w:pPr>
              <w:keepNext/>
              <w:keepLines/>
              <w:jc w:val="center"/>
            </w:pPr>
            <w:r>
              <w:t>15% Max white / 24% Max Yellow</w:t>
            </w:r>
          </w:p>
        </w:tc>
      </w:tr>
    </w:tbl>
    <w:p w14:paraId="6D8B39FC" w14:textId="77777777" w:rsidR="005E7C12" w:rsidRDefault="005E7C12" w:rsidP="005E7C12">
      <w:pPr>
        <w:ind w:left="360"/>
      </w:pPr>
    </w:p>
    <w:p w14:paraId="7E2A8D89" w14:textId="143CA180" w:rsidR="005E7C12" w:rsidRDefault="005E7C12" w:rsidP="005E7C12">
      <w:pPr>
        <w:ind w:left="360"/>
      </w:pPr>
      <w:r w:rsidRPr="001331BB">
        <w:t>Use white</w:t>
      </w:r>
      <w:r>
        <w:t xml:space="preserve"> material</w:t>
      </w:r>
      <w:r w:rsidRPr="001331BB">
        <w:t xml:space="preserve"> that does not contain anatase titanium dioxide pigment.</w:t>
      </w:r>
      <w:r>
        <w:t xml:space="preserve"> Use yellow material that does not contain any intentionally added lead chromate.</w:t>
      </w:r>
    </w:p>
    <w:p w14:paraId="5D5DE95D" w14:textId="77777777" w:rsidR="005E7C12" w:rsidRPr="001331BB" w:rsidRDefault="005E7C12" w:rsidP="005E7C12">
      <w:pPr>
        <w:ind w:left="360"/>
      </w:pPr>
    </w:p>
    <w:p w14:paraId="4184C851" w14:textId="4E0EBB7F" w:rsidR="005E7C12" w:rsidRPr="001331BB" w:rsidRDefault="005E7C12" w:rsidP="005E7C12">
      <w:pPr>
        <w:ind w:left="360"/>
      </w:pPr>
      <w:r w:rsidRPr="001331BB">
        <w:t xml:space="preserve">Calcium carbonate and inert fillers may be </w:t>
      </w:r>
      <w:r>
        <w:t>used</w:t>
      </w:r>
      <w:r w:rsidRPr="001331BB">
        <w:t xml:space="preserve"> by the manufacturer, providing all other qualifications are met.</w:t>
      </w:r>
    </w:p>
    <w:p w14:paraId="2AE9D634" w14:textId="77777777" w:rsidR="005E7C12" w:rsidRDefault="005E7C12" w:rsidP="005E7C12">
      <w:pPr>
        <w:ind w:left="360"/>
      </w:pPr>
    </w:p>
    <w:p w14:paraId="46E49AB9" w14:textId="59F1D5BB" w:rsidR="005E7C12" w:rsidRDefault="005E7C12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34</w:t>
      </w:r>
      <w:r>
        <w:t>, replace “</w:t>
      </w:r>
      <w:r w:rsidRPr="005E7C12">
        <w:t>thermoplastic</w:t>
      </w:r>
      <w:r>
        <w:t>” with “</w:t>
      </w:r>
      <w:r w:rsidRPr="005E7C12">
        <w:t>material</w:t>
      </w:r>
      <w:r>
        <w:t>”.</w:t>
      </w:r>
    </w:p>
    <w:p w14:paraId="5EED0BA5" w14:textId="77777777" w:rsidR="005E7C12" w:rsidRDefault="005E7C12" w:rsidP="004E2CB6">
      <w:pPr>
        <w:widowControl w:val="0"/>
        <w:ind w:left="360"/>
      </w:pPr>
    </w:p>
    <w:p w14:paraId="1605113C" w14:textId="5D0AE66C" w:rsidR="005E7C12" w:rsidRDefault="005E7C12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36</w:t>
      </w:r>
      <w:r>
        <w:t>, replace “</w:t>
      </w:r>
      <w:r w:rsidRPr="005E7C12">
        <w:t>alkyd/maleic binder</w:t>
      </w:r>
      <w:r>
        <w:t>” with “</w:t>
      </w:r>
      <w:r w:rsidRPr="005E7C12">
        <w:t>binder</w:t>
      </w:r>
      <w:r>
        <w:t>”.</w:t>
      </w:r>
    </w:p>
    <w:p w14:paraId="4ECDB8C3" w14:textId="77777777" w:rsidR="004E2CB6" w:rsidRDefault="004E2CB6" w:rsidP="004E2CB6">
      <w:pPr>
        <w:widowControl w:val="0"/>
        <w:jc w:val="both"/>
      </w:pPr>
    </w:p>
    <w:p w14:paraId="71B37C62" w14:textId="374EB8D4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38</w:t>
      </w:r>
      <w:r>
        <w:t>, replace “</w:t>
      </w:r>
      <w:r w:rsidRPr="004E2CB6">
        <w:t>maleic-modified glycerol of resin</w:t>
      </w:r>
      <w:r>
        <w:t>” with “</w:t>
      </w:r>
      <w:r w:rsidRPr="004E2CB6">
        <w:t>rosin ester</w:t>
      </w:r>
      <w:r>
        <w:t>”.</w:t>
      </w:r>
    </w:p>
    <w:p w14:paraId="37667C18" w14:textId="77777777" w:rsidR="004E2CB6" w:rsidRDefault="004E2CB6" w:rsidP="004E2CB6">
      <w:pPr>
        <w:widowControl w:val="0"/>
        <w:jc w:val="both"/>
      </w:pPr>
    </w:p>
    <w:p w14:paraId="5F4B998D" w14:textId="19D74FF4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 xml:space="preserve">, </w:t>
      </w:r>
      <w:r>
        <w:t>insert the following paragraph after line 2:</w:t>
      </w:r>
    </w:p>
    <w:p w14:paraId="592AF025" w14:textId="77777777" w:rsidR="004E2CB6" w:rsidRDefault="004E2CB6" w:rsidP="004E2CB6">
      <w:pPr>
        <w:widowControl w:val="0"/>
        <w:jc w:val="both"/>
      </w:pPr>
    </w:p>
    <w:p w14:paraId="7FD60462" w14:textId="09B9F463" w:rsidR="004E2CB6" w:rsidRDefault="004E2CB6" w:rsidP="004E2CB6">
      <w:pPr>
        <w:widowControl w:val="0"/>
        <w:jc w:val="both"/>
      </w:pPr>
      <w:r w:rsidRPr="004E2CB6">
        <w:t>The integrated multipolymer binder shall consist of a mixture of modified rosin ester, polyamide and a copolymer (e.g. EVA) with waxes and/or plasticizers.  At least 3% of the total formulation weight shall be 100% polyamide.  The binder shall contain no petroleum hydrocarbon resins</w:t>
      </w:r>
      <w:r>
        <w:t>.</w:t>
      </w:r>
    </w:p>
    <w:p w14:paraId="6BD6443F" w14:textId="77777777" w:rsidR="005E7C12" w:rsidRPr="001331BB" w:rsidRDefault="005E7C12" w:rsidP="004E2CB6">
      <w:pPr>
        <w:widowControl w:val="0"/>
        <w:ind w:left="360"/>
      </w:pPr>
    </w:p>
    <w:p w14:paraId="2652BECA" w14:textId="683A98D9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>s 3, 6, 9 and 11</w:t>
      </w:r>
      <w:r>
        <w:t xml:space="preserve">, </w:t>
      </w:r>
      <w:r w:rsidRPr="004E2CB6">
        <w:t xml:space="preserve">replace “thermoplastic material” with </w:t>
      </w:r>
      <w:r>
        <w:t>“</w:t>
      </w:r>
      <w:r w:rsidRPr="004E2CB6">
        <w:t>material</w:t>
      </w:r>
      <w:r>
        <w:t>”.</w:t>
      </w:r>
    </w:p>
    <w:p w14:paraId="36664889" w14:textId="4F6E1796" w:rsidR="005E7C12" w:rsidRDefault="005E7C12" w:rsidP="004E2CB6">
      <w:pPr>
        <w:widowControl w:val="0"/>
        <w:jc w:val="both"/>
        <w:rPr>
          <w:b/>
          <w:bCs/>
        </w:rPr>
      </w:pPr>
    </w:p>
    <w:p w14:paraId="33FCA782" w14:textId="512FB62E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 w:rsidR="00A756E3"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 w:rsidR="00A756E3">
        <w:rPr>
          <w:b/>
          <w:bCs/>
        </w:rPr>
        <w:t>3 COLOR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</w:t>
      </w:r>
      <w:r w:rsidRPr="00F40D9F">
        <w:rPr>
          <w:b/>
          <w:bCs/>
        </w:rPr>
        <w:t>line</w:t>
      </w:r>
      <w:r>
        <w:rPr>
          <w:b/>
          <w:bCs/>
        </w:rPr>
        <w:t xml:space="preserve"> 27</w:t>
      </w:r>
      <w:r>
        <w:t xml:space="preserve">, </w:t>
      </w:r>
      <w:r w:rsidRPr="004E2CB6">
        <w:t>replace “Crystal: Color No. 17886 (White)” with “</w:t>
      </w:r>
      <w:r>
        <w:t>White</w:t>
      </w:r>
      <w:r w:rsidRPr="004E2CB6">
        <w:t>: Color No. 17925</w:t>
      </w:r>
      <w:r>
        <w:t>”.</w:t>
      </w:r>
    </w:p>
    <w:p w14:paraId="59F5564D" w14:textId="77777777" w:rsidR="004E2CB6" w:rsidRDefault="004E2CB6" w:rsidP="004E2CB6">
      <w:pPr>
        <w:widowControl w:val="0"/>
        <w:jc w:val="both"/>
        <w:rPr>
          <w:b/>
          <w:bCs/>
        </w:rPr>
      </w:pPr>
    </w:p>
    <w:p w14:paraId="4F462E34" w14:textId="1DD79882" w:rsidR="00BE7FCC" w:rsidRDefault="00BE7FCC" w:rsidP="00BE7FCC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 w:rsidR="00585B5D"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="00585B5D">
        <w:rPr>
          <w:b/>
          <w:bCs/>
        </w:rPr>
        <w:t>(A)</w:t>
      </w:r>
      <w:r>
        <w:rPr>
          <w:b/>
          <w:bCs/>
        </w:rPr>
        <w:t xml:space="preserve"> </w:t>
      </w:r>
      <w:r w:rsidR="00585B5D" w:rsidRPr="00585B5D">
        <w:rPr>
          <w:b/>
          <w:bCs/>
        </w:rPr>
        <w:t>Composition</w:t>
      </w:r>
      <w:r w:rsidRPr="00F40D9F">
        <w:rPr>
          <w:b/>
          <w:bCs/>
        </w:rPr>
        <w:t>, line</w:t>
      </w:r>
      <w:r w:rsidR="00585B5D">
        <w:rPr>
          <w:b/>
          <w:bCs/>
        </w:rPr>
        <w:t>s</w:t>
      </w:r>
      <w:r>
        <w:rPr>
          <w:b/>
          <w:bCs/>
        </w:rPr>
        <w:t xml:space="preserve"> </w:t>
      </w:r>
      <w:r w:rsidR="00585B5D">
        <w:rPr>
          <w:b/>
          <w:bCs/>
        </w:rPr>
        <w:t>31-34</w:t>
      </w:r>
      <w:r>
        <w:t xml:space="preserve">, </w:t>
      </w:r>
      <w:r w:rsidRPr="004E2CB6">
        <w:t xml:space="preserve">replace </w:t>
      </w:r>
      <w:r w:rsidR="00585B5D">
        <w:t>the second paragraph with the following:</w:t>
      </w:r>
    </w:p>
    <w:p w14:paraId="42A5C576" w14:textId="77777777" w:rsidR="00585B5D" w:rsidRDefault="00585B5D" w:rsidP="00BE7FCC">
      <w:pPr>
        <w:widowControl w:val="0"/>
        <w:jc w:val="both"/>
      </w:pPr>
    </w:p>
    <w:p w14:paraId="581DEF2E" w14:textId="03C48516" w:rsidR="00585B5D" w:rsidRDefault="00585B5D" w:rsidP="00BE7FCC">
      <w:pPr>
        <w:widowControl w:val="0"/>
        <w:jc w:val="both"/>
      </w:pPr>
      <w:r w:rsidRPr="00585B5D">
        <w:t>Manufacture the beads from 100% recycled or virgin non-pigmented glass from a composition designed to be highly resistant to traffic wear and to the effects of weathering.  All intermix and drop-on glass beads shall be manufactured using 100% North American recycled glass cullet, virgin North American glass or a combination of the two.</w:t>
      </w:r>
    </w:p>
    <w:p w14:paraId="1A229528" w14:textId="77777777" w:rsidR="0081312B" w:rsidRDefault="0081312B" w:rsidP="004E2CB6">
      <w:pPr>
        <w:widowControl w:val="0"/>
        <w:jc w:val="both"/>
        <w:rPr>
          <w:b/>
          <w:bCs/>
        </w:rPr>
      </w:pPr>
    </w:p>
    <w:p w14:paraId="764FA519" w14:textId="23B1B7CF" w:rsidR="00585B5D" w:rsidRDefault="00585B5D" w:rsidP="00585B5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585B5D">
        <w:rPr>
          <w:b/>
          <w:bCs/>
        </w:rPr>
        <w:t>Gradation &amp; Roundness</w:t>
      </w:r>
      <w:r w:rsidRPr="00F40D9F">
        <w:rPr>
          <w:b/>
          <w:bCs/>
        </w:rPr>
        <w:t>, line</w:t>
      </w:r>
      <w:r>
        <w:rPr>
          <w:b/>
          <w:bCs/>
        </w:rPr>
        <w:t>s 4-6</w:t>
      </w:r>
      <w:r>
        <w:t xml:space="preserve">, </w:t>
      </w:r>
      <w:r w:rsidRPr="004E2CB6">
        <w:t xml:space="preserve">replace </w:t>
      </w:r>
      <w:r>
        <w:t xml:space="preserve">the </w:t>
      </w:r>
      <w:r w:rsidR="00131215">
        <w:t xml:space="preserve">first </w:t>
      </w:r>
      <w:r>
        <w:t>paragraph and table with the following:</w:t>
      </w:r>
    </w:p>
    <w:p w14:paraId="687DB96C" w14:textId="77777777" w:rsidR="00585B5D" w:rsidRDefault="00585B5D" w:rsidP="00585B5D">
      <w:pPr>
        <w:widowControl w:val="0"/>
        <w:jc w:val="both"/>
      </w:pPr>
    </w:p>
    <w:p w14:paraId="6F466714" w14:textId="08A9CCC5" w:rsidR="0081312B" w:rsidRDefault="00585B5D" w:rsidP="004E2CB6">
      <w:pPr>
        <w:widowControl w:val="0"/>
        <w:jc w:val="both"/>
      </w:pPr>
      <w:r w:rsidRPr="00585B5D">
        <w:t>Use drop-on and intermixed glass beads in all pavement markings with at least 80% true spheres when tested in accordance with ASTM D1155.  Drop-on glass beads for permanent pavement markings shall be high performance glass beads listed on the NCDOT APL. If otherwise specified, or at the direction of the Engineer, other drop-on reflective media may be used on permanent markings. Drop-on glass beads used on any interim or temporary pavement markings shall meet Table 1087-2.</w:t>
      </w:r>
    </w:p>
    <w:p w14:paraId="0BF195E9" w14:textId="77777777" w:rsidR="00585B5D" w:rsidRPr="001331BB" w:rsidRDefault="00585B5D" w:rsidP="00585B5D">
      <w:pPr>
        <w:ind w:left="360"/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000"/>
        <w:gridCol w:w="2674"/>
        <w:gridCol w:w="2676"/>
      </w:tblGrid>
      <w:tr w:rsidR="00585B5D" w:rsidRPr="001331BB" w14:paraId="74445123" w14:textId="77777777" w:rsidTr="007E206E">
        <w:trPr>
          <w:jc w:val="center"/>
        </w:trPr>
        <w:tc>
          <w:tcPr>
            <w:tcW w:w="5000" w:type="pct"/>
            <w:gridSpan w:val="3"/>
            <w:vAlign w:val="center"/>
          </w:tcPr>
          <w:p w14:paraId="4E10C437" w14:textId="77E92534" w:rsidR="00585B5D" w:rsidRPr="001331BB" w:rsidRDefault="00171CE9" w:rsidP="006A310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TABLE 1087-2                                                                                                                                  </w:t>
            </w:r>
            <w:r w:rsidR="00ED6713">
              <w:rPr>
                <w:b/>
              </w:rPr>
              <w:t>GL</w:t>
            </w:r>
            <w:r w:rsidR="00585B5D" w:rsidRPr="001331BB">
              <w:rPr>
                <w:b/>
              </w:rPr>
              <w:t>ASS BEAD GRADATION REQUIREMENTS</w:t>
            </w:r>
          </w:p>
        </w:tc>
      </w:tr>
      <w:tr w:rsidR="00585B5D" w:rsidRPr="001331BB" w14:paraId="3701E50B" w14:textId="77777777" w:rsidTr="007E206E">
        <w:trPr>
          <w:jc w:val="center"/>
        </w:trPr>
        <w:tc>
          <w:tcPr>
            <w:tcW w:w="2139" w:type="pct"/>
            <w:vMerge w:val="restart"/>
            <w:vAlign w:val="center"/>
          </w:tcPr>
          <w:p w14:paraId="7BE99FC7" w14:textId="77777777" w:rsidR="00585B5D" w:rsidRPr="001331BB" w:rsidRDefault="00585B5D" w:rsidP="006A310F">
            <w:pPr>
              <w:keepNext/>
              <w:keepLines/>
              <w:jc w:val="center"/>
              <w:rPr>
                <w:b/>
              </w:rPr>
            </w:pPr>
            <w:r w:rsidRPr="001331BB">
              <w:rPr>
                <w:b/>
              </w:rPr>
              <w:t>Sieve Size</w:t>
            </w:r>
          </w:p>
        </w:tc>
        <w:tc>
          <w:tcPr>
            <w:tcW w:w="2861" w:type="pct"/>
            <w:gridSpan w:val="2"/>
            <w:vAlign w:val="center"/>
          </w:tcPr>
          <w:p w14:paraId="4CA37D11" w14:textId="77777777" w:rsidR="00585B5D" w:rsidRPr="001331BB" w:rsidRDefault="00585B5D" w:rsidP="006A310F">
            <w:pPr>
              <w:keepNext/>
              <w:keepLines/>
              <w:jc w:val="center"/>
              <w:rPr>
                <w:b/>
              </w:rPr>
            </w:pPr>
            <w:proofErr w:type="spellStart"/>
            <w:r w:rsidRPr="001331BB">
              <w:rPr>
                <w:b/>
              </w:rPr>
              <w:t>Gradation</w:t>
            </w:r>
            <w:proofErr w:type="spellEnd"/>
            <w:r w:rsidRPr="001331BB">
              <w:rPr>
                <w:b/>
              </w:rPr>
              <w:t xml:space="preserve"> Requirements</w:t>
            </w:r>
            <w:r w:rsidRPr="001331BB" w:rsidDel="00D91758">
              <w:rPr>
                <w:b/>
              </w:rPr>
              <w:t xml:space="preserve"> </w:t>
            </w:r>
          </w:p>
        </w:tc>
      </w:tr>
      <w:tr w:rsidR="00585B5D" w:rsidRPr="001331BB" w14:paraId="22504373" w14:textId="77777777" w:rsidTr="007E206E">
        <w:trPr>
          <w:jc w:val="center"/>
        </w:trPr>
        <w:tc>
          <w:tcPr>
            <w:tcW w:w="2139" w:type="pct"/>
            <w:vMerge/>
            <w:vAlign w:val="center"/>
          </w:tcPr>
          <w:p w14:paraId="5EBCB81A" w14:textId="77777777" w:rsidR="00585B5D" w:rsidRPr="001331BB" w:rsidRDefault="00585B5D" w:rsidP="006A310F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430" w:type="pct"/>
            <w:vAlign w:val="center"/>
          </w:tcPr>
          <w:p w14:paraId="08EFA6E0" w14:textId="77777777" w:rsidR="00585B5D" w:rsidRPr="001331BB" w:rsidRDefault="00585B5D" w:rsidP="006A310F">
            <w:pPr>
              <w:keepNext/>
              <w:keepLines/>
              <w:jc w:val="center"/>
              <w:rPr>
                <w:b/>
              </w:rPr>
            </w:pPr>
            <w:r w:rsidRPr="001331BB">
              <w:rPr>
                <w:b/>
              </w:rPr>
              <w:t>Minimum</w:t>
            </w:r>
          </w:p>
        </w:tc>
        <w:tc>
          <w:tcPr>
            <w:tcW w:w="1431" w:type="pct"/>
            <w:vAlign w:val="center"/>
          </w:tcPr>
          <w:p w14:paraId="6CE1824A" w14:textId="77777777" w:rsidR="00585B5D" w:rsidRPr="001331BB" w:rsidRDefault="00585B5D" w:rsidP="006A310F">
            <w:pPr>
              <w:keepNext/>
              <w:keepLines/>
              <w:jc w:val="center"/>
              <w:rPr>
                <w:b/>
              </w:rPr>
            </w:pPr>
            <w:r w:rsidRPr="001331BB">
              <w:rPr>
                <w:b/>
              </w:rPr>
              <w:t>Maximum</w:t>
            </w:r>
          </w:p>
        </w:tc>
      </w:tr>
      <w:tr w:rsidR="00585B5D" w:rsidRPr="001331BB" w14:paraId="7F398EB3" w14:textId="77777777" w:rsidTr="007E206E">
        <w:trPr>
          <w:jc w:val="center"/>
        </w:trPr>
        <w:tc>
          <w:tcPr>
            <w:tcW w:w="2139" w:type="pct"/>
            <w:vAlign w:val="center"/>
          </w:tcPr>
          <w:p w14:paraId="7C386246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Passing #20</w:t>
            </w:r>
          </w:p>
        </w:tc>
        <w:tc>
          <w:tcPr>
            <w:tcW w:w="1430" w:type="pct"/>
            <w:vAlign w:val="center"/>
          </w:tcPr>
          <w:p w14:paraId="1A1F0CEB" w14:textId="77777777" w:rsidR="00585B5D" w:rsidRPr="001331BB" w:rsidRDefault="00585B5D" w:rsidP="006A310F">
            <w:pPr>
              <w:keepNext/>
              <w:keepLines/>
              <w:jc w:val="center"/>
            </w:pPr>
            <w:r>
              <w:t>95</w:t>
            </w:r>
            <w:r w:rsidRPr="001331BB">
              <w:t>%</w:t>
            </w:r>
          </w:p>
        </w:tc>
        <w:tc>
          <w:tcPr>
            <w:tcW w:w="1431" w:type="pct"/>
            <w:vAlign w:val="center"/>
          </w:tcPr>
          <w:p w14:paraId="343F6605" w14:textId="77777777" w:rsidR="00585B5D" w:rsidRPr="001331BB" w:rsidRDefault="00585B5D" w:rsidP="006A310F">
            <w:pPr>
              <w:keepNext/>
              <w:keepLines/>
              <w:jc w:val="center"/>
            </w:pPr>
            <w:r>
              <w:t>100%</w:t>
            </w:r>
          </w:p>
        </w:tc>
      </w:tr>
      <w:tr w:rsidR="00585B5D" w:rsidRPr="001331BB" w14:paraId="08E90ADF" w14:textId="77777777" w:rsidTr="007E206E">
        <w:trPr>
          <w:jc w:val="center"/>
        </w:trPr>
        <w:tc>
          <w:tcPr>
            <w:tcW w:w="2139" w:type="pct"/>
            <w:vAlign w:val="center"/>
          </w:tcPr>
          <w:p w14:paraId="5E2474C4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Retained on #30</w:t>
            </w:r>
          </w:p>
        </w:tc>
        <w:tc>
          <w:tcPr>
            <w:tcW w:w="1430" w:type="pct"/>
            <w:vAlign w:val="center"/>
          </w:tcPr>
          <w:p w14:paraId="37A07A44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5%</w:t>
            </w:r>
          </w:p>
        </w:tc>
        <w:tc>
          <w:tcPr>
            <w:tcW w:w="1431" w:type="pct"/>
            <w:vAlign w:val="center"/>
          </w:tcPr>
          <w:p w14:paraId="227F4E3C" w14:textId="77777777" w:rsidR="00585B5D" w:rsidRPr="001331BB" w:rsidRDefault="00585B5D" w:rsidP="006A310F">
            <w:pPr>
              <w:keepNext/>
              <w:keepLines/>
              <w:jc w:val="center"/>
            </w:pPr>
            <w:r>
              <w:t>20</w:t>
            </w:r>
            <w:r w:rsidRPr="001331BB">
              <w:t>%</w:t>
            </w:r>
          </w:p>
        </w:tc>
      </w:tr>
      <w:tr w:rsidR="00585B5D" w:rsidRPr="001331BB" w14:paraId="026BAA6F" w14:textId="77777777" w:rsidTr="007E206E">
        <w:trPr>
          <w:jc w:val="center"/>
        </w:trPr>
        <w:tc>
          <w:tcPr>
            <w:tcW w:w="2139" w:type="pct"/>
            <w:vAlign w:val="center"/>
          </w:tcPr>
          <w:p w14:paraId="6F52D3E4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Retained on #50</w:t>
            </w:r>
          </w:p>
        </w:tc>
        <w:tc>
          <w:tcPr>
            <w:tcW w:w="1430" w:type="pct"/>
            <w:vAlign w:val="center"/>
          </w:tcPr>
          <w:p w14:paraId="5797CB96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40%</w:t>
            </w:r>
          </w:p>
        </w:tc>
        <w:tc>
          <w:tcPr>
            <w:tcW w:w="1431" w:type="pct"/>
            <w:vAlign w:val="center"/>
          </w:tcPr>
          <w:p w14:paraId="756A19C6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80%</w:t>
            </w:r>
          </w:p>
        </w:tc>
      </w:tr>
      <w:tr w:rsidR="00585B5D" w:rsidRPr="001331BB" w14:paraId="055818D2" w14:textId="77777777" w:rsidTr="007E206E">
        <w:trPr>
          <w:jc w:val="center"/>
        </w:trPr>
        <w:tc>
          <w:tcPr>
            <w:tcW w:w="2139" w:type="pct"/>
            <w:vAlign w:val="center"/>
          </w:tcPr>
          <w:p w14:paraId="77760E35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Retained on #80</w:t>
            </w:r>
          </w:p>
        </w:tc>
        <w:tc>
          <w:tcPr>
            <w:tcW w:w="1430" w:type="pct"/>
            <w:vAlign w:val="center"/>
          </w:tcPr>
          <w:p w14:paraId="070BF5B4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15%</w:t>
            </w:r>
          </w:p>
        </w:tc>
        <w:tc>
          <w:tcPr>
            <w:tcW w:w="1431" w:type="pct"/>
            <w:vAlign w:val="center"/>
          </w:tcPr>
          <w:p w14:paraId="70DDBAE7" w14:textId="77777777" w:rsidR="00585B5D" w:rsidRPr="001331BB" w:rsidRDefault="00585B5D" w:rsidP="006A310F">
            <w:pPr>
              <w:keepNext/>
              <w:keepLines/>
              <w:jc w:val="center"/>
            </w:pPr>
            <w:r>
              <w:t>5</w:t>
            </w:r>
            <w:r w:rsidRPr="001331BB">
              <w:t>0%</w:t>
            </w:r>
          </w:p>
        </w:tc>
      </w:tr>
      <w:tr w:rsidR="00585B5D" w:rsidRPr="001331BB" w14:paraId="66AA6D3F" w14:textId="77777777" w:rsidTr="007E206E">
        <w:trPr>
          <w:jc w:val="center"/>
        </w:trPr>
        <w:tc>
          <w:tcPr>
            <w:tcW w:w="2139" w:type="pct"/>
            <w:vAlign w:val="center"/>
          </w:tcPr>
          <w:p w14:paraId="1FBCEF28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Passing #80</w:t>
            </w:r>
          </w:p>
        </w:tc>
        <w:tc>
          <w:tcPr>
            <w:tcW w:w="1430" w:type="pct"/>
            <w:vAlign w:val="center"/>
          </w:tcPr>
          <w:p w14:paraId="2E2F9438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0%</w:t>
            </w:r>
          </w:p>
        </w:tc>
        <w:tc>
          <w:tcPr>
            <w:tcW w:w="1431" w:type="pct"/>
            <w:vAlign w:val="center"/>
          </w:tcPr>
          <w:p w14:paraId="7255F524" w14:textId="77777777" w:rsidR="00585B5D" w:rsidRPr="001331BB" w:rsidRDefault="00585B5D" w:rsidP="006A310F">
            <w:pPr>
              <w:keepNext/>
              <w:keepLines/>
              <w:jc w:val="center"/>
            </w:pPr>
            <w:r>
              <w:t>10</w:t>
            </w:r>
            <w:r w:rsidRPr="001331BB">
              <w:t>%</w:t>
            </w:r>
          </w:p>
        </w:tc>
      </w:tr>
      <w:tr w:rsidR="00585B5D" w:rsidRPr="001331BB" w14:paraId="160704CC" w14:textId="77777777" w:rsidTr="007E206E">
        <w:trPr>
          <w:jc w:val="center"/>
        </w:trPr>
        <w:tc>
          <w:tcPr>
            <w:tcW w:w="2139" w:type="pct"/>
            <w:vAlign w:val="center"/>
          </w:tcPr>
          <w:p w14:paraId="332DFDCD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Retained on #200</w:t>
            </w:r>
          </w:p>
        </w:tc>
        <w:tc>
          <w:tcPr>
            <w:tcW w:w="1430" w:type="pct"/>
            <w:vAlign w:val="center"/>
          </w:tcPr>
          <w:p w14:paraId="066E7B3E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0%</w:t>
            </w:r>
          </w:p>
        </w:tc>
        <w:tc>
          <w:tcPr>
            <w:tcW w:w="1431" w:type="pct"/>
            <w:vAlign w:val="center"/>
          </w:tcPr>
          <w:p w14:paraId="577A9DDD" w14:textId="77777777" w:rsidR="00585B5D" w:rsidRPr="001331BB" w:rsidRDefault="00585B5D" w:rsidP="006A310F">
            <w:pPr>
              <w:keepNext/>
              <w:keepLines/>
              <w:jc w:val="center"/>
            </w:pPr>
            <w:r w:rsidRPr="001331BB">
              <w:t>5%</w:t>
            </w:r>
          </w:p>
        </w:tc>
      </w:tr>
    </w:tbl>
    <w:p w14:paraId="3FC1EE8E" w14:textId="77777777" w:rsidR="00131215" w:rsidRDefault="00131215" w:rsidP="00585B5D">
      <w:pPr>
        <w:widowControl w:val="0"/>
        <w:jc w:val="both"/>
        <w:rPr>
          <w:b/>
          <w:bCs/>
        </w:rPr>
      </w:pPr>
    </w:p>
    <w:p w14:paraId="39908ABF" w14:textId="2439909B" w:rsidR="00585B5D" w:rsidRDefault="00585B5D" w:rsidP="00585B5D">
      <w:pPr>
        <w:widowControl w:val="0"/>
        <w:jc w:val="both"/>
      </w:pPr>
      <w:r w:rsidRPr="00F40D9F">
        <w:rPr>
          <w:b/>
          <w:bCs/>
        </w:rPr>
        <w:lastRenderedPageBreak/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187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5 </w:t>
      </w:r>
      <w:r w:rsidRPr="00585B5D">
        <w:rPr>
          <w:b/>
          <w:bCs/>
        </w:rPr>
        <w:t>PACKAGING FOR SHIPMENT</w:t>
      </w:r>
      <w:r w:rsidRPr="00F40D9F">
        <w:rPr>
          <w:b/>
          <w:bCs/>
        </w:rPr>
        <w:t>, line</w:t>
      </w:r>
      <w:r>
        <w:rPr>
          <w:b/>
          <w:bCs/>
        </w:rPr>
        <w:t xml:space="preserve"> 31</w:t>
      </w:r>
      <w:r>
        <w:t xml:space="preserve">, </w:t>
      </w:r>
      <w:r w:rsidRPr="004E2CB6">
        <w:t>replace “</w:t>
      </w:r>
      <w:r w:rsidRPr="00585B5D">
        <w:t>Thermoplastic pavement marking materials</w:t>
      </w:r>
      <w:r w:rsidRPr="004E2CB6">
        <w:t>” with “</w:t>
      </w:r>
      <w:r w:rsidRPr="00585B5D">
        <w:t xml:space="preserve">Thermoplastic and </w:t>
      </w:r>
      <w:r w:rsidR="003335FF">
        <w:t>i</w:t>
      </w:r>
      <w:r w:rsidRPr="00585B5D">
        <w:t xml:space="preserve">ntegrated </w:t>
      </w:r>
      <w:r w:rsidR="003335FF">
        <w:t>m</w:t>
      </w:r>
      <w:r w:rsidRPr="00585B5D">
        <w:t>ultipolymer pavement marking materials</w:t>
      </w:r>
      <w:r>
        <w:t>”.</w:t>
      </w:r>
    </w:p>
    <w:p w14:paraId="7C094D90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4562AEEA" w14:textId="77777777" w:rsidR="000D2BB6" w:rsidRDefault="00585B5D" w:rsidP="00585B5D">
      <w:pPr>
        <w:widowControl w:val="0"/>
        <w:jc w:val="both"/>
        <w:rPr>
          <w:b/>
          <w:bCs/>
        </w:rPr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188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7(B) </w:t>
      </w:r>
      <w:r w:rsidRPr="00585B5D">
        <w:rPr>
          <w:b/>
          <w:bCs/>
        </w:rPr>
        <w:t>Thermoplastic Pavement Marking Material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17</w:t>
      </w:r>
      <w:r>
        <w:t xml:space="preserve">, </w:t>
      </w:r>
      <w:r w:rsidRPr="000D2BB6">
        <w:t>replace</w:t>
      </w:r>
      <w:r w:rsidRPr="000D2BB6">
        <w:rPr>
          <w:b/>
          <w:bCs/>
        </w:rPr>
        <w:t xml:space="preserve"> “(B) Thermoplastic Pavement Marking Material Composition</w:t>
      </w:r>
      <w:r w:rsidRPr="00256372">
        <w:t>”</w:t>
      </w:r>
      <w:r w:rsidRPr="000D2BB6">
        <w:rPr>
          <w:b/>
          <w:bCs/>
        </w:rPr>
        <w:t xml:space="preserve"> </w:t>
      </w:r>
      <w:r w:rsidRPr="000D2BB6">
        <w:t>with</w:t>
      </w:r>
      <w:r w:rsidRPr="000D2BB6">
        <w:rPr>
          <w:b/>
          <w:bCs/>
        </w:rPr>
        <w:t xml:space="preserve"> </w:t>
      </w:r>
    </w:p>
    <w:p w14:paraId="3EF90FE5" w14:textId="38E507A2" w:rsidR="00585B5D" w:rsidRDefault="00585B5D" w:rsidP="00585B5D">
      <w:pPr>
        <w:widowControl w:val="0"/>
        <w:jc w:val="both"/>
      </w:pPr>
      <w:r w:rsidRPr="00256372">
        <w:t>“</w:t>
      </w:r>
      <w:r w:rsidRPr="000D2BB6">
        <w:rPr>
          <w:b/>
          <w:bCs/>
        </w:rPr>
        <w:t>(B) Thermoplastic and Integrated Multipolymer Pavement Marking Material Composition</w:t>
      </w:r>
      <w:r w:rsidRPr="00256372">
        <w:t>”</w:t>
      </w:r>
      <w:r w:rsidRPr="000D2BB6">
        <w:rPr>
          <w:b/>
          <w:bCs/>
        </w:rPr>
        <w:t>.</w:t>
      </w:r>
    </w:p>
    <w:p w14:paraId="26EDE503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4DF47108" w14:textId="3492B373" w:rsidR="000D2BB6" w:rsidRDefault="000D2BB6" w:rsidP="000D2B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188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7(C) </w:t>
      </w:r>
      <w:r w:rsidRPr="000D2BB6">
        <w:rPr>
          <w:b/>
          <w:bCs/>
        </w:rPr>
        <w:t>Flash Point</w:t>
      </w:r>
      <w:r w:rsidRPr="00F40D9F">
        <w:rPr>
          <w:b/>
          <w:bCs/>
        </w:rPr>
        <w:t>, line</w:t>
      </w:r>
      <w:r>
        <w:rPr>
          <w:b/>
          <w:bCs/>
        </w:rPr>
        <w:t xml:space="preserve"> 22</w:t>
      </w:r>
      <w:r>
        <w:t xml:space="preserve">, </w:t>
      </w:r>
      <w:r w:rsidRPr="000D2BB6">
        <w:t>replace “</w:t>
      </w:r>
      <w:r>
        <w:t>t</w:t>
      </w:r>
      <w:r w:rsidRPr="000D2BB6">
        <w:t>hermoplastic” with “</w:t>
      </w:r>
      <w:r>
        <w:t>t</w:t>
      </w:r>
      <w:r w:rsidRPr="000D2BB6">
        <w:t xml:space="preserve">hermoplastic and </w:t>
      </w:r>
      <w:r w:rsidR="003335FF">
        <w:t>i</w:t>
      </w:r>
      <w:r w:rsidRPr="000D2BB6">
        <w:t xml:space="preserve">ntegrated </w:t>
      </w:r>
      <w:r w:rsidR="003335FF">
        <w:t>m</w:t>
      </w:r>
      <w:r w:rsidRPr="000D2BB6">
        <w:t>ultipolymer</w:t>
      </w:r>
      <w:r>
        <w:t xml:space="preserve"> material</w:t>
      </w:r>
      <w:r w:rsidRPr="000D2BB6">
        <w:t>”.</w:t>
      </w:r>
    </w:p>
    <w:p w14:paraId="5F47CE36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445857E2" w14:textId="07FF042A" w:rsidR="000D2BB6" w:rsidRDefault="000D2BB6" w:rsidP="000D2B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188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7(D) </w:t>
      </w:r>
      <w:r w:rsidRPr="000D2BB6">
        <w:rPr>
          <w:b/>
          <w:bCs/>
        </w:rPr>
        <w:t>Requirements</w:t>
      </w:r>
      <w:r w:rsidRPr="00F40D9F">
        <w:rPr>
          <w:b/>
          <w:bCs/>
        </w:rPr>
        <w:t>, line</w:t>
      </w:r>
      <w:r>
        <w:rPr>
          <w:b/>
          <w:bCs/>
        </w:rPr>
        <w:t xml:space="preserve"> 25</w:t>
      </w:r>
      <w:r>
        <w:t xml:space="preserve">, </w:t>
      </w:r>
      <w:r w:rsidRPr="000D2BB6">
        <w:t>replace “</w:t>
      </w:r>
      <w:r>
        <w:t>t</w:t>
      </w:r>
      <w:r w:rsidRPr="000D2BB6">
        <w:t>hermoplastic</w:t>
      </w:r>
      <w:r>
        <w:t xml:space="preserve"> material</w:t>
      </w:r>
      <w:r w:rsidRPr="000D2BB6">
        <w:t>” with “</w:t>
      </w:r>
      <w:r>
        <w:t>t</w:t>
      </w:r>
      <w:r w:rsidRPr="000D2BB6">
        <w:t xml:space="preserve">hermoplastic and </w:t>
      </w:r>
      <w:r w:rsidR="003335FF">
        <w:t>i</w:t>
      </w:r>
      <w:r w:rsidRPr="000D2BB6">
        <w:t xml:space="preserve">ntegrated </w:t>
      </w:r>
      <w:r w:rsidR="003335FF">
        <w:t>m</w:t>
      </w:r>
      <w:r w:rsidRPr="000D2BB6">
        <w:t>ultipolymer</w:t>
      </w:r>
      <w:r>
        <w:t xml:space="preserve"> material</w:t>
      </w:r>
      <w:r w:rsidRPr="000D2BB6">
        <w:t>”.</w:t>
      </w:r>
    </w:p>
    <w:p w14:paraId="48BAE10C" w14:textId="77777777" w:rsidR="000D2BB6" w:rsidRDefault="000D2BB6" w:rsidP="004E2CB6">
      <w:pPr>
        <w:widowControl w:val="0"/>
        <w:jc w:val="both"/>
        <w:rPr>
          <w:b/>
          <w:bCs/>
        </w:rPr>
      </w:pPr>
    </w:p>
    <w:p w14:paraId="4B4D8DE7" w14:textId="07031BA6" w:rsidR="00072804" w:rsidRDefault="00072804" w:rsidP="00072804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189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7(D)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</w:t>
      </w:r>
      <w:r w:rsidRPr="00F40D9F">
        <w:rPr>
          <w:b/>
          <w:bCs/>
        </w:rPr>
        <w:t>line</w:t>
      </w:r>
      <w:r>
        <w:rPr>
          <w:b/>
          <w:bCs/>
        </w:rPr>
        <w:t xml:space="preserve"> 15</w:t>
      </w:r>
      <w:r>
        <w:t>, add the following:</w:t>
      </w:r>
    </w:p>
    <w:p w14:paraId="7F9D4652" w14:textId="77777777" w:rsidR="00072804" w:rsidRDefault="00072804" w:rsidP="00072804">
      <w:pPr>
        <w:widowControl w:val="0"/>
        <w:jc w:val="both"/>
      </w:pPr>
    </w:p>
    <w:p w14:paraId="155DB48F" w14:textId="19A2DF90" w:rsidR="00072804" w:rsidRPr="001331BB" w:rsidRDefault="00072804" w:rsidP="009062A5">
      <w:pPr>
        <w:spacing w:before="120" w:after="120"/>
        <w:ind w:left="360"/>
        <w:jc w:val="both"/>
      </w:pPr>
      <w:r>
        <w:t xml:space="preserve">(9) Tensile Elongation </w:t>
      </w:r>
    </w:p>
    <w:p w14:paraId="46E47FF5" w14:textId="09730143" w:rsidR="00072804" w:rsidRPr="001331BB" w:rsidRDefault="00072804" w:rsidP="00072804">
      <w:pPr>
        <w:ind w:left="720"/>
      </w:pPr>
      <w:r w:rsidRPr="001331BB">
        <w:t xml:space="preserve">The </w:t>
      </w:r>
      <w:r w:rsidR="003335FF">
        <w:t>i</w:t>
      </w:r>
      <w:r>
        <w:t xml:space="preserve">ntegrated </w:t>
      </w:r>
      <w:r w:rsidR="003335FF">
        <w:t>m</w:t>
      </w:r>
      <w:r>
        <w:t xml:space="preserve">ultipolymer </w:t>
      </w:r>
      <w:r w:rsidRPr="001331BB">
        <w:t xml:space="preserve">material shall </w:t>
      </w:r>
      <w:r>
        <w:t>have an elongation of at least 10% when tested in accordance with ASTM D638 (</w:t>
      </w:r>
      <w:r w:rsidRPr="00105E53">
        <w:t>1"x 6", 0.25"/min</w:t>
      </w:r>
      <w:r>
        <w:t xml:space="preserve">). </w:t>
      </w:r>
    </w:p>
    <w:p w14:paraId="470DA1B6" w14:textId="5CEFB871" w:rsidR="00072804" w:rsidRDefault="00072804" w:rsidP="009062A5">
      <w:pPr>
        <w:spacing w:before="120" w:after="120"/>
        <w:ind w:left="360"/>
        <w:jc w:val="both"/>
      </w:pPr>
      <w:r>
        <w:t>(10) Abrasion Resistance</w:t>
      </w:r>
    </w:p>
    <w:p w14:paraId="7101966F" w14:textId="74A85039" w:rsidR="00072804" w:rsidRPr="001331BB" w:rsidRDefault="00072804" w:rsidP="00072804">
      <w:pPr>
        <w:ind w:left="720"/>
      </w:pPr>
      <w:r>
        <w:t xml:space="preserve">The </w:t>
      </w:r>
      <w:r w:rsidR="003335FF">
        <w:t>i</w:t>
      </w:r>
      <w:r>
        <w:t xml:space="preserve">ntegrated </w:t>
      </w:r>
      <w:r w:rsidR="003335FF">
        <w:t>m</w:t>
      </w:r>
      <w:r>
        <w:t xml:space="preserve">ultipolymer material shall have no more than 0.40 g weight loss following </w:t>
      </w:r>
      <w:proofErr w:type="spellStart"/>
      <w:r>
        <w:t>taber</w:t>
      </w:r>
      <w:proofErr w:type="spellEnd"/>
      <w:r>
        <w:t xml:space="preserve"> abrasion with CS17 wheels for 1000 cycles with 1 kg weight per ASTM D4060.  </w:t>
      </w:r>
    </w:p>
    <w:p w14:paraId="00EEED21" w14:textId="77777777" w:rsidR="009062A5" w:rsidRDefault="009062A5" w:rsidP="009062A5">
      <w:pPr>
        <w:widowControl w:val="0"/>
        <w:jc w:val="both"/>
        <w:rPr>
          <w:b/>
          <w:bCs/>
        </w:rPr>
      </w:pPr>
    </w:p>
    <w:p w14:paraId="39A9CEC8" w14:textId="55F538E9" w:rsidR="009062A5" w:rsidRDefault="009062A5" w:rsidP="009062A5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189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8 </w:t>
      </w:r>
      <w:r w:rsidRPr="009062A5">
        <w:rPr>
          <w:b/>
          <w:bCs/>
        </w:rPr>
        <w:t>MATERIAL CERTIFICATION</w:t>
      </w:r>
      <w:r w:rsidRPr="00F40D9F">
        <w:rPr>
          <w:b/>
          <w:bCs/>
        </w:rPr>
        <w:t>, line</w:t>
      </w:r>
      <w:r>
        <w:rPr>
          <w:b/>
          <w:bCs/>
        </w:rPr>
        <w:t>s 22-23</w:t>
      </w:r>
      <w:r>
        <w:t xml:space="preserve">, </w:t>
      </w:r>
      <w:r w:rsidRPr="000D2BB6">
        <w:t xml:space="preserve">replace </w:t>
      </w:r>
      <w:r>
        <w:t>the third paragraph with the following:</w:t>
      </w:r>
    </w:p>
    <w:p w14:paraId="6B4DA67A" w14:textId="77777777" w:rsidR="009062A5" w:rsidRDefault="009062A5" w:rsidP="009062A5">
      <w:pPr>
        <w:widowControl w:val="0"/>
        <w:jc w:val="both"/>
      </w:pPr>
    </w:p>
    <w:p w14:paraId="02F37B0F" w14:textId="29F6E2FC" w:rsidR="009062A5" w:rsidRDefault="009062A5" w:rsidP="009062A5">
      <w:pPr>
        <w:widowControl w:val="0"/>
        <w:jc w:val="both"/>
      </w:pPr>
      <w:r>
        <w:t xml:space="preserve">Reflective media not covered in </w:t>
      </w:r>
      <w:r w:rsidR="00131215">
        <w:t>this,</w:t>
      </w:r>
      <w:r>
        <w:t xml:space="preserve"> or other specifications </w:t>
      </w:r>
      <w:r w:rsidRPr="00DE310F">
        <w:t>must meet AASHTO M 247 Type 3 or 4 and a NCDOT Type 2 Material Certification must be provided.</w:t>
      </w:r>
    </w:p>
    <w:p w14:paraId="3FFA3502" w14:textId="77777777" w:rsidR="009062A5" w:rsidRDefault="009062A5" w:rsidP="009062A5">
      <w:pPr>
        <w:widowControl w:val="0"/>
        <w:jc w:val="both"/>
        <w:rPr>
          <w:b/>
          <w:bCs/>
        </w:rPr>
      </w:pPr>
    </w:p>
    <w:p w14:paraId="76FD4EAD" w14:textId="4A4CFAE9" w:rsidR="009062A5" w:rsidRDefault="009062A5" w:rsidP="009062A5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189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8 </w:t>
      </w:r>
      <w:r w:rsidRPr="009062A5">
        <w:rPr>
          <w:b/>
          <w:bCs/>
        </w:rPr>
        <w:t>MATERIAL CERTIFICATION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</w:t>
      </w:r>
      <w:r w:rsidRPr="00F40D9F">
        <w:rPr>
          <w:b/>
          <w:bCs/>
        </w:rPr>
        <w:t>line</w:t>
      </w:r>
      <w:r>
        <w:rPr>
          <w:b/>
          <w:bCs/>
        </w:rPr>
        <w:t xml:space="preserve"> 23</w:t>
      </w:r>
      <w:r>
        <w:t>, add the following to the table:</w:t>
      </w:r>
    </w:p>
    <w:p w14:paraId="6EC03350" w14:textId="77777777" w:rsidR="009062A5" w:rsidRDefault="009062A5" w:rsidP="009062A5">
      <w:pPr>
        <w:widowControl w:val="0"/>
        <w:jc w:val="both"/>
      </w:pPr>
    </w:p>
    <w:tbl>
      <w:tblPr>
        <w:tblW w:w="512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04"/>
        <w:gridCol w:w="6576"/>
      </w:tblGrid>
      <w:tr w:rsidR="009062A5" w:rsidRPr="001331BB" w14:paraId="1C77D943" w14:textId="77777777" w:rsidTr="00131215">
        <w:trPr>
          <w:trHeight w:val="305"/>
        </w:trPr>
        <w:tc>
          <w:tcPr>
            <w:tcW w:w="15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B73209" w14:textId="77777777" w:rsidR="009062A5" w:rsidRDefault="009062A5" w:rsidP="007E206E">
            <w:r>
              <w:t>Integrated Multipolymer</w:t>
            </w:r>
          </w:p>
        </w:tc>
        <w:tc>
          <w:tcPr>
            <w:tcW w:w="34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0755EB" w14:textId="77777777" w:rsidR="009062A5" w:rsidRPr="001331BB" w:rsidRDefault="009062A5" w:rsidP="007E206E">
            <w:pPr>
              <w:ind w:left="720" w:hanging="720"/>
            </w:pPr>
            <w:r>
              <w:t>Type 2 Material Certification and Type 3 Material Certification</w:t>
            </w:r>
          </w:p>
        </w:tc>
      </w:tr>
    </w:tbl>
    <w:p w14:paraId="3CD69E5B" w14:textId="77777777" w:rsidR="009062A5" w:rsidRDefault="009062A5" w:rsidP="009062A5">
      <w:pPr>
        <w:widowControl w:val="0"/>
        <w:jc w:val="both"/>
      </w:pPr>
    </w:p>
    <w:p w14:paraId="4BBB9143" w14:textId="5A1309A0" w:rsidR="00647761" w:rsidRDefault="00647761" w:rsidP="00647761">
      <w:pPr>
        <w:widowControl w:val="0"/>
        <w:jc w:val="both"/>
      </w:pPr>
      <w:r w:rsidRPr="00F40D9F">
        <w:rPr>
          <w:b/>
          <w:bCs/>
        </w:rPr>
        <w:t xml:space="preserve">Page </w:t>
      </w:r>
      <w:r w:rsidR="00B0035A">
        <w:rPr>
          <w:b/>
          <w:bCs/>
        </w:rPr>
        <w:t>12</w:t>
      </w:r>
      <w:r w:rsidRPr="00F40D9F">
        <w:rPr>
          <w:b/>
          <w:bCs/>
        </w:rPr>
        <w:t>-</w:t>
      </w:r>
      <w:r w:rsidR="00B0035A">
        <w:rPr>
          <w:b/>
          <w:bCs/>
        </w:rPr>
        <w:t>3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>3</w:t>
      </w:r>
      <w:r w:rsidR="00B0035A">
        <w:rPr>
          <w:b/>
          <w:bCs/>
        </w:rPr>
        <w:t>(F)</w:t>
      </w:r>
      <w:r>
        <w:rPr>
          <w:b/>
          <w:bCs/>
        </w:rPr>
        <w:t xml:space="preserve"> </w:t>
      </w:r>
      <w:r w:rsidR="00B0035A" w:rsidRPr="00B0035A">
        <w:rPr>
          <w:b/>
          <w:bCs/>
        </w:rPr>
        <w:t>Surface Preparation and Curing Compound Removal</w:t>
      </w:r>
      <w:r w:rsidRPr="00F40D9F">
        <w:rPr>
          <w:b/>
          <w:bCs/>
        </w:rPr>
        <w:t>, line</w:t>
      </w:r>
      <w:r>
        <w:rPr>
          <w:b/>
          <w:bCs/>
        </w:rPr>
        <w:t xml:space="preserve"> </w:t>
      </w:r>
      <w:r w:rsidR="00B0035A">
        <w:rPr>
          <w:b/>
          <w:bCs/>
        </w:rPr>
        <w:t>8</w:t>
      </w:r>
      <w:r>
        <w:t xml:space="preserve">, </w:t>
      </w:r>
      <w:r w:rsidR="00B0035A">
        <w:t>add the following as a second sentence of the first paragraph</w:t>
      </w:r>
      <w:r>
        <w:t>:</w:t>
      </w:r>
    </w:p>
    <w:p w14:paraId="75C09A04" w14:textId="77777777" w:rsidR="00647761" w:rsidRDefault="00647761" w:rsidP="00647761">
      <w:pPr>
        <w:widowControl w:val="0"/>
        <w:jc w:val="both"/>
      </w:pPr>
    </w:p>
    <w:p w14:paraId="78E1941F" w14:textId="3E6C4ACC" w:rsidR="00647761" w:rsidRDefault="00B0035A" w:rsidP="00647761">
      <w:pPr>
        <w:widowControl w:val="0"/>
        <w:jc w:val="both"/>
      </w:pPr>
      <w:r w:rsidRPr="00B0035A">
        <w:t>Only apply markings to dry clean surfaces</w:t>
      </w:r>
      <w:r w:rsidR="00647761" w:rsidRPr="00DE310F">
        <w:t>.</w:t>
      </w:r>
    </w:p>
    <w:p w14:paraId="1085D9AF" w14:textId="77777777" w:rsidR="009062A5" w:rsidRDefault="009062A5" w:rsidP="009062A5">
      <w:pPr>
        <w:widowControl w:val="0"/>
        <w:jc w:val="both"/>
        <w:rPr>
          <w:b/>
          <w:bCs/>
        </w:rPr>
      </w:pPr>
    </w:p>
    <w:p w14:paraId="7AB36282" w14:textId="45050519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3(G)(1) </w:t>
      </w:r>
      <w:r w:rsidRPr="00B0035A">
        <w:rPr>
          <w:b/>
          <w:bCs/>
        </w:rPr>
        <w:t>General for all types of Pavement Markings</w:t>
      </w:r>
      <w:r w:rsidRPr="00F40D9F">
        <w:rPr>
          <w:b/>
          <w:bCs/>
        </w:rPr>
        <w:t>, line</w:t>
      </w:r>
      <w:r>
        <w:rPr>
          <w:b/>
          <w:bCs/>
        </w:rPr>
        <w:t xml:space="preserve"> 16</w:t>
      </w:r>
      <w:r>
        <w:t>, replace the first sentence of the eigh</w:t>
      </w:r>
      <w:r w:rsidR="00F34C9F">
        <w:t>th</w:t>
      </w:r>
      <w:r>
        <w:t xml:space="preserve"> paragraph with the following:</w:t>
      </w:r>
    </w:p>
    <w:p w14:paraId="4ED70060" w14:textId="77777777" w:rsidR="00B0035A" w:rsidRDefault="00B0035A" w:rsidP="00B0035A">
      <w:pPr>
        <w:widowControl w:val="0"/>
        <w:jc w:val="both"/>
      </w:pPr>
    </w:p>
    <w:p w14:paraId="14F90285" w14:textId="785A67A3" w:rsidR="00585B5D" w:rsidRDefault="00B0035A" w:rsidP="004E2CB6">
      <w:pPr>
        <w:widowControl w:val="0"/>
        <w:jc w:val="both"/>
      </w:pPr>
      <w:r w:rsidRPr="00B0035A">
        <w:t xml:space="preserve">Protect the pavement markings until they are track free before </w:t>
      </w:r>
      <w:r w:rsidR="00F34C9F" w:rsidRPr="00B0035A">
        <w:t>exposing them</w:t>
      </w:r>
      <w:r w:rsidRPr="00B0035A">
        <w:t xml:space="preserve"> to traffic.  </w:t>
      </w:r>
    </w:p>
    <w:p w14:paraId="0EBE649E" w14:textId="77777777" w:rsidR="00B0035A" w:rsidRDefault="00B0035A" w:rsidP="004E2CB6">
      <w:pPr>
        <w:widowControl w:val="0"/>
        <w:jc w:val="both"/>
      </w:pPr>
    </w:p>
    <w:p w14:paraId="086B5296" w14:textId="41B83393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3(G)(1) </w:t>
      </w:r>
      <w:r w:rsidRPr="00B0035A">
        <w:rPr>
          <w:b/>
          <w:bCs/>
        </w:rPr>
        <w:t>General for all types of Pavement Markings</w:t>
      </w:r>
      <w:r w:rsidRPr="00F40D9F">
        <w:rPr>
          <w:b/>
          <w:bCs/>
        </w:rPr>
        <w:t>, line</w:t>
      </w:r>
      <w:r>
        <w:rPr>
          <w:b/>
          <w:bCs/>
        </w:rPr>
        <w:t>s 22-24</w:t>
      </w:r>
      <w:r>
        <w:t>, delete the second sentence of the tenth paragraph.</w:t>
      </w:r>
    </w:p>
    <w:p w14:paraId="184BFA12" w14:textId="77777777" w:rsidR="00B0035A" w:rsidRDefault="00B0035A" w:rsidP="00B0035A">
      <w:pPr>
        <w:widowControl w:val="0"/>
        <w:jc w:val="both"/>
      </w:pPr>
    </w:p>
    <w:p w14:paraId="6FDDAB77" w14:textId="16457784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3(G)(1) </w:t>
      </w:r>
      <w:r w:rsidRPr="00B0035A">
        <w:rPr>
          <w:b/>
          <w:bCs/>
        </w:rPr>
        <w:t>General for all types of Pavement Markings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24</w:t>
      </w:r>
      <w:r>
        <w:t xml:space="preserve">, </w:t>
      </w:r>
      <w:r w:rsidRPr="000D2BB6">
        <w:t>replace “</w:t>
      </w:r>
      <w:r w:rsidRPr="00B0035A">
        <w:t>White: Color No. 17886</w:t>
      </w:r>
      <w:r w:rsidRPr="000D2BB6">
        <w:t>” with “</w:t>
      </w:r>
      <w:r w:rsidRPr="00B0035A">
        <w:t>White: Color No. 17</w:t>
      </w:r>
      <w:r>
        <w:t>295</w:t>
      </w:r>
      <w:r w:rsidRPr="000D2BB6">
        <w:t>”.</w:t>
      </w:r>
    </w:p>
    <w:p w14:paraId="2607E7D9" w14:textId="77777777" w:rsidR="00B0035A" w:rsidRDefault="00B0035A" w:rsidP="00B0035A">
      <w:pPr>
        <w:widowControl w:val="0"/>
        <w:jc w:val="both"/>
      </w:pPr>
    </w:p>
    <w:p w14:paraId="7219929B" w14:textId="32A0AF19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3(I) </w:t>
      </w:r>
      <w:r w:rsidRPr="00B0035A">
        <w:rPr>
          <w:b/>
          <w:bCs/>
        </w:rPr>
        <w:t>Removal of Pavement Markings</w:t>
      </w:r>
      <w:r w:rsidRPr="00F40D9F">
        <w:rPr>
          <w:b/>
          <w:bCs/>
        </w:rPr>
        <w:t xml:space="preserve">, </w:t>
      </w:r>
      <w:r>
        <w:rPr>
          <w:b/>
          <w:bCs/>
        </w:rPr>
        <w:t>line 32</w:t>
      </w:r>
      <w:r>
        <w:t xml:space="preserve">, </w:t>
      </w:r>
      <w:r w:rsidR="00786260">
        <w:t>add the following as the</w:t>
      </w:r>
      <w:r>
        <w:t xml:space="preserve"> </w:t>
      </w:r>
      <w:r w:rsidR="00786260">
        <w:t xml:space="preserve">third sentence of the </w:t>
      </w:r>
      <w:r>
        <w:t>seventh paragraph</w:t>
      </w:r>
      <w:r w:rsidR="00786260">
        <w:t>:</w:t>
      </w:r>
    </w:p>
    <w:p w14:paraId="04B05AE9" w14:textId="77777777" w:rsidR="00786260" w:rsidRDefault="00786260" w:rsidP="00B0035A">
      <w:pPr>
        <w:widowControl w:val="0"/>
        <w:jc w:val="both"/>
      </w:pPr>
    </w:p>
    <w:p w14:paraId="12DA5106" w14:textId="14A88D8E" w:rsidR="00786260" w:rsidRDefault="00786260" w:rsidP="00B0035A">
      <w:pPr>
        <w:widowControl w:val="0"/>
        <w:jc w:val="both"/>
      </w:pPr>
      <w:r>
        <w:t>Before applying integrated multipolymer (IMP) pavement markings over existing thermoplastic pavement markings, remove at least 85% of the oxidized existing thermoplastic.</w:t>
      </w:r>
    </w:p>
    <w:p w14:paraId="47B3A3DE" w14:textId="77777777" w:rsidR="00786260" w:rsidRDefault="00786260" w:rsidP="00B0035A">
      <w:pPr>
        <w:widowControl w:val="0"/>
        <w:jc w:val="both"/>
      </w:pPr>
    </w:p>
    <w:p w14:paraId="15988C73" w14:textId="2F9DC359" w:rsidR="00786260" w:rsidRDefault="00786260" w:rsidP="00786260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3(I) </w:t>
      </w:r>
      <w:r w:rsidRPr="00B0035A">
        <w:rPr>
          <w:b/>
          <w:bCs/>
        </w:rPr>
        <w:t>Removal of Pavement Markings</w:t>
      </w:r>
      <w:r w:rsidRPr="00F40D9F">
        <w:rPr>
          <w:b/>
          <w:bCs/>
        </w:rPr>
        <w:t xml:space="preserve">, </w:t>
      </w:r>
      <w:r>
        <w:rPr>
          <w:b/>
          <w:bCs/>
        </w:rPr>
        <w:t>line 35</w:t>
      </w:r>
      <w:r>
        <w:t xml:space="preserve">, </w:t>
      </w:r>
      <w:r w:rsidRPr="000D2BB6">
        <w:t>replace “</w:t>
      </w:r>
      <w:r w:rsidRPr="00786260">
        <w:t>thermoplastic</w:t>
      </w:r>
      <w:r w:rsidRPr="000D2BB6">
        <w:t>” with “</w:t>
      </w:r>
      <w:r w:rsidRPr="00786260">
        <w:t>thermoplastic or IMP</w:t>
      </w:r>
      <w:r w:rsidRPr="000D2BB6">
        <w:t>”.</w:t>
      </w:r>
    </w:p>
    <w:p w14:paraId="5B7FD08A" w14:textId="77777777" w:rsidR="00786260" w:rsidRDefault="00786260" w:rsidP="00B0035A">
      <w:pPr>
        <w:widowControl w:val="0"/>
        <w:jc w:val="both"/>
      </w:pPr>
    </w:p>
    <w:p w14:paraId="61B8B45E" w14:textId="32C8958A" w:rsidR="00256372" w:rsidRDefault="00256372" w:rsidP="00256372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 </w:t>
      </w:r>
      <w:r w:rsidRPr="00256372">
        <w:rPr>
          <w:b/>
          <w:bCs/>
        </w:rPr>
        <w:t>THERMOPLASTIC</w:t>
      </w:r>
      <w:r w:rsidRPr="00F40D9F">
        <w:rPr>
          <w:b/>
          <w:bCs/>
        </w:rPr>
        <w:t xml:space="preserve">, </w:t>
      </w:r>
      <w:r>
        <w:rPr>
          <w:b/>
          <w:bCs/>
        </w:rPr>
        <w:t>line 3</w:t>
      </w:r>
      <w:r>
        <w:t xml:space="preserve">, </w:t>
      </w:r>
      <w:r w:rsidRPr="000D2BB6">
        <w:t>replace</w:t>
      </w:r>
      <w:r w:rsidRPr="000D2BB6">
        <w:rPr>
          <w:b/>
          <w:bCs/>
        </w:rPr>
        <w:t xml:space="preserve"> </w:t>
      </w:r>
      <w:r w:rsidRPr="00256372">
        <w:t>“</w:t>
      </w:r>
      <w:r w:rsidRPr="00256372">
        <w:rPr>
          <w:b/>
          <w:bCs/>
        </w:rPr>
        <w:t>1205-4 THERMOPLASTIC</w:t>
      </w:r>
      <w:r w:rsidRPr="00256372">
        <w:t>”</w:t>
      </w:r>
      <w:r w:rsidRPr="000D2BB6">
        <w:rPr>
          <w:b/>
          <w:bCs/>
        </w:rPr>
        <w:t xml:space="preserve"> </w:t>
      </w:r>
      <w:r w:rsidRPr="000D2BB6">
        <w:t>with</w:t>
      </w:r>
      <w:r w:rsidRPr="000D2BB6">
        <w:rPr>
          <w:b/>
          <w:bCs/>
        </w:rPr>
        <w:t xml:space="preserve"> </w:t>
      </w:r>
      <w:r>
        <w:rPr>
          <w:b/>
          <w:bCs/>
        </w:rPr>
        <w:t>“</w:t>
      </w:r>
      <w:r w:rsidRPr="00256372">
        <w:rPr>
          <w:b/>
          <w:bCs/>
        </w:rPr>
        <w:t>1205-4</w:t>
      </w:r>
      <w:r w:rsidRPr="00256372">
        <w:rPr>
          <w:b/>
          <w:bCs/>
        </w:rPr>
        <w:tab/>
        <w:t>THERMOPLASTIC AND INTEGRATED MULTIPOLYMER (IMP)</w:t>
      </w:r>
      <w:r w:rsidRPr="00256372">
        <w:t>”</w:t>
      </w:r>
      <w:r w:rsidRPr="000D2BB6">
        <w:rPr>
          <w:b/>
          <w:bCs/>
        </w:rPr>
        <w:t>.</w:t>
      </w:r>
    </w:p>
    <w:p w14:paraId="528E0424" w14:textId="05EC703D" w:rsidR="00256372" w:rsidRDefault="00256372" w:rsidP="00256372">
      <w:pPr>
        <w:widowControl w:val="0"/>
        <w:jc w:val="both"/>
      </w:pPr>
    </w:p>
    <w:p w14:paraId="1F40F4E9" w14:textId="69D5AAF5" w:rsidR="00256372" w:rsidRDefault="00256372" w:rsidP="00256372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 w:rsidR="003335FF"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4(A) </w:t>
      </w:r>
      <w:r w:rsidRPr="00256372">
        <w:rPr>
          <w:b/>
          <w:bCs/>
        </w:rPr>
        <w:t>Application Equipment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7, 16, 20, 24, 25, 27 and 29</w:t>
      </w:r>
      <w:r>
        <w:t>, delete “</w:t>
      </w:r>
      <w:r w:rsidRPr="00256372">
        <w:t>thermoplastic</w:t>
      </w:r>
      <w:r>
        <w:t>”</w:t>
      </w:r>
    </w:p>
    <w:p w14:paraId="549D2FCF" w14:textId="77777777" w:rsidR="00256372" w:rsidRDefault="00256372" w:rsidP="00256372">
      <w:pPr>
        <w:widowControl w:val="0"/>
        <w:jc w:val="both"/>
      </w:pPr>
    </w:p>
    <w:p w14:paraId="6CEBAAE6" w14:textId="60DE33E1" w:rsidR="00256372" w:rsidRDefault="00256372" w:rsidP="00256372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 w:rsidR="003335FF"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4(B) </w:t>
      </w:r>
      <w:r w:rsidRPr="00256372">
        <w:rPr>
          <w:b/>
          <w:bCs/>
        </w:rPr>
        <w:t>Weather Limitations and Seasonal Limitations</w:t>
      </w:r>
      <w:r w:rsidRPr="00F40D9F">
        <w:rPr>
          <w:b/>
          <w:bCs/>
        </w:rPr>
        <w:t xml:space="preserve">, </w:t>
      </w:r>
      <w:r>
        <w:rPr>
          <w:b/>
          <w:bCs/>
        </w:rPr>
        <w:t>line 38</w:t>
      </w:r>
      <w:r>
        <w:t xml:space="preserve">, </w:t>
      </w:r>
      <w:r w:rsidRPr="000D2BB6">
        <w:t>replace “</w:t>
      </w:r>
      <w:r w:rsidRPr="00786260">
        <w:t>thermoplastic</w:t>
      </w:r>
      <w:r w:rsidRPr="00256372">
        <w:t xml:space="preserve"> pavement markings</w:t>
      </w:r>
      <w:r w:rsidRPr="000D2BB6">
        <w:t>” with “</w:t>
      </w:r>
      <w:r w:rsidRPr="00256372">
        <w:t>thermoplastic or integrated multipolymer pavement markings</w:t>
      </w:r>
      <w:r w:rsidRPr="000D2BB6">
        <w:t>”.</w:t>
      </w:r>
    </w:p>
    <w:p w14:paraId="6236360C" w14:textId="280828D3" w:rsidR="00786260" w:rsidRDefault="00786260" w:rsidP="00B0035A">
      <w:pPr>
        <w:widowControl w:val="0"/>
        <w:jc w:val="both"/>
      </w:pPr>
    </w:p>
    <w:p w14:paraId="2A073130" w14:textId="1CC9185F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4(B) </w:t>
      </w:r>
      <w:r w:rsidRPr="00256372">
        <w:rPr>
          <w:b/>
          <w:bCs/>
        </w:rPr>
        <w:t>Weather Limitations and Seasonal Limitations</w:t>
      </w:r>
      <w:r w:rsidRPr="00F40D9F">
        <w:rPr>
          <w:b/>
          <w:bCs/>
        </w:rPr>
        <w:t xml:space="preserve">, </w:t>
      </w:r>
      <w:r>
        <w:rPr>
          <w:b/>
          <w:bCs/>
        </w:rPr>
        <w:t>line 42</w:t>
      </w:r>
      <w:r>
        <w:t>, delete “</w:t>
      </w:r>
      <w:r w:rsidRPr="003335FF">
        <w:t>thermoplastic</w:t>
      </w:r>
      <w:r>
        <w:t>”.</w:t>
      </w:r>
    </w:p>
    <w:p w14:paraId="57F8BB77" w14:textId="70F6D6A0" w:rsidR="00B0035A" w:rsidRDefault="00B0035A" w:rsidP="00B0035A">
      <w:pPr>
        <w:widowControl w:val="0"/>
        <w:jc w:val="both"/>
      </w:pPr>
    </w:p>
    <w:p w14:paraId="7CEA0350" w14:textId="4093814E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lines 2, 3, 10, 21 and 31</w:t>
      </w:r>
      <w:r>
        <w:t>, delete “</w:t>
      </w:r>
      <w:r w:rsidRPr="003335FF">
        <w:t>thermoplastic</w:t>
      </w:r>
      <w:r>
        <w:t>”.</w:t>
      </w:r>
    </w:p>
    <w:p w14:paraId="3FC1FC19" w14:textId="77777777" w:rsidR="00B0035A" w:rsidRDefault="00B0035A" w:rsidP="00B0035A">
      <w:pPr>
        <w:widowControl w:val="0"/>
        <w:jc w:val="both"/>
      </w:pPr>
    </w:p>
    <w:p w14:paraId="6AEAF4E2" w14:textId="5667E9ED" w:rsidR="003335FF" w:rsidRDefault="003335FF" w:rsidP="005E4A58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17</w:t>
      </w:r>
      <w:r>
        <w:t xml:space="preserve">, </w:t>
      </w:r>
      <w:r w:rsidR="005E4A58">
        <w:t xml:space="preserve">in Table 1205-2 MINIMUM REFLECTOMETER REQUIREMENTS FOR THERMOPLASTIC </w:t>
      </w:r>
      <w:r w:rsidRPr="000D2BB6">
        <w:t>replace “</w:t>
      </w:r>
      <w:r w:rsidRPr="003335FF">
        <w:t>Standard Glass Beads</w:t>
      </w:r>
      <w:r w:rsidRPr="000D2BB6">
        <w:t>” with “</w:t>
      </w:r>
      <w:r w:rsidRPr="003335FF">
        <w:t>High Performance Glass Beads</w:t>
      </w:r>
      <w:r w:rsidRPr="000D2BB6">
        <w:t>”</w:t>
      </w:r>
      <w:r>
        <w:t xml:space="preserve"> and for the Reflectivity of White replace “375 </w:t>
      </w:r>
      <w:r w:rsidRPr="003335FF">
        <w:t>mcd/lux/</w:t>
      </w:r>
      <w:r w:rsidRPr="00131E6C">
        <w:t>m</w:t>
      </w:r>
      <w:r w:rsidRPr="00217C98">
        <w:rPr>
          <w:vertAlign w:val="superscript"/>
        </w:rPr>
        <w:t>2</w:t>
      </w:r>
      <w:r>
        <w:t xml:space="preserve">” with “425 </w:t>
      </w:r>
      <w:r w:rsidRPr="00131E6C">
        <w:t>mcd/lux/m</w:t>
      </w:r>
      <w:r w:rsidRPr="00217C98">
        <w:rPr>
          <w:vertAlign w:val="superscript"/>
        </w:rPr>
        <w:t>2</w:t>
      </w:r>
      <w:r>
        <w:t>” and Yellow replace “</w:t>
      </w:r>
      <w:r w:rsidRPr="003335FF">
        <w:t>250 mcd/lux/</w:t>
      </w:r>
      <w:r w:rsidRPr="00131E6C">
        <w:t>m</w:t>
      </w:r>
      <w:r w:rsidRPr="00217C98">
        <w:rPr>
          <w:vertAlign w:val="superscript"/>
        </w:rPr>
        <w:t>2</w:t>
      </w:r>
      <w:r>
        <w:t xml:space="preserve">” with “325 </w:t>
      </w:r>
      <w:r w:rsidRPr="00131E6C">
        <w:t>mcd/lux/m</w:t>
      </w:r>
      <w:r w:rsidRPr="00217C98">
        <w:rPr>
          <w:vertAlign w:val="superscript"/>
        </w:rPr>
        <w:t>2</w:t>
      </w:r>
      <w:r>
        <w:t>”</w:t>
      </w:r>
    </w:p>
    <w:p w14:paraId="1E827534" w14:textId="52C172F1" w:rsidR="00B0035A" w:rsidRDefault="00B0035A" w:rsidP="004E2CB6">
      <w:pPr>
        <w:widowControl w:val="0"/>
        <w:jc w:val="both"/>
        <w:rPr>
          <w:b/>
          <w:bCs/>
        </w:rPr>
      </w:pPr>
    </w:p>
    <w:p w14:paraId="7B88FCB8" w14:textId="351DF1F6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 23</w:t>
      </w:r>
      <w:r>
        <w:t xml:space="preserve">, </w:t>
      </w:r>
      <w:r w:rsidRPr="000D2BB6">
        <w:t>replace “</w:t>
      </w:r>
      <w:r w:rsidRPr="003335FF">
        <w:t>thermoplastic pavement marking</w:t>
      </w:r>
      <w:r w:rsidRPr="000D2BB6">
        <w:t>” with “</w:t>
      </w:r>
      <w:r w:rsidRPr="003335FF">
        <w:t>final pavement marking</w:t>
      </w:r>
      <w:r w:rsidRPr="000D2BB6">
        <w:t>”.</w:t>
      </w:r>
    </w:p>
    <w:p w14:paraId="1B0D7F3B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65FB9DE4" w14:textId="0C818E5C" w:rsidR="003335FF" w:rsidRPr="003335FF" w:rsidRDefault="003335FF" w:rsidP="003335FF">
      <w:pPr>
        <w:widowControl w:val="0"/>
        <w:jc w:val="both"/>
        <w:rPr>
          <w:b/>
          <w:bCs/>
        </w:rPr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32</w:t>
      </w:r>
      <w:r>
        <w:t xml:space="preserve">, </w:t>
      </w:r>
      <w:r w:rsidRPr="000D2BB6">
        <w:t>replace “</w:t>
      </w:r>
      <w:r w:rsidRPr="003335FF">
        <w:rPr>
          <w:b/>
          <w:bCs/>
        </w:rPr>
        <w:t>TABLE 1205-3</w:t>
      </w:r>
    </w:p>
    <w:p w14:paraId="5F06BF59" w14:textId="77777777" w:rsidR="003335FF" w:rsidRPr="003335FF" w:rsidRDefault="003335FF" w:rsidP="003335FF">
      <w:pPr>
        <w:widowControl w:val="0"/>
        <w:jc w:val="both"/>
        <w:rPr>
          <w:b/>
          <w:bCs/>
        </w:rPr>
      </w:pPr>
      <w:r w:rsidRPr="003335FF">
        <w:rPr>
          <w:b/>
          <w:bCs/>
        </w:rPr>
        <w:t>THICKNESS REQUIREMENTS FOR THERMOPLASTIC</w:t>
      </w:r>
      <w:r w:rsidRPr="000D2BB6">
        <w:t>” with “</w:t>
      </w:r>
      <w:r w:rsidRPr="003335FF">
        <w:rPr>
          <w:b/>
          <w:bCs/>
        </w:rPr>
        <w:t>TABLE 1205-3</w:t>
      </w:r>
    </w:p>
    <w:p w14:paraId="0857BFCB" w14:textId="7E1F5622" w:rsidR="003335FF" w:rsidRDefault="003335FF" w:rsidP="003335FF">
      <w:pPr>
        <w:widowControl w:val="0"/>
        <w:jc w:val="both"/>
      </w:pPr>
      <w:r w:rsidRPr="003335FF">
        <w:rPr>
          <w:b/>
          <w:bCs/>
        </w:rPr>
        <w:t>THICKNESS REQUIREMENTS FOR THERMOPLASTIC</w:t>
      </w:r>
      <w:r>
        <w:rPr>
          <w:b/>
          <w:bCs/>
        </w:rPr>
        <w:t xml:space="preserve"> </w:t>
      </w:r>
      <w:r w:rsidRPr="003335FF">
        <w:rPr>
          <w:b/>
          <w:bCs/>
        </w:rPr>
        <w:t>AND INTEGRATED MULTIPOLYMER</w:t>
      </w:r>
      <w:r w:rsidRPr="000D2BB6">
        <w:t>”.</w:t>
      </w:r>
    </w:p>
    <w:p w14:paraId="7155BC9C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254ABDF1" w14:textId="13AFF024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9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5(C) </w:t>
      </w:r>
      <w:r w:rsidRPr="003335FF">
        <w:rPr>
          <w:b/>
          <w:bCs/>
        </w:rPr>
        <w:t>Observation Period</w:t>
      </w:r>
      <w:r w:rsidRPr="00F40D9F">
        <w:rPr>
          <w:b/>
          <w:bCs/>
        </w:rPr>
        <w:t xml:space="preserve">, </w:t>
      </w:r>
      <w:r>
        <w:rPr>
          <w:b/>
          <w:bCs/>
        </w:rPr>
        <w:t>before line 1</w:t>
      </w:r>
      <w:r>
        <w:t xml:space="preserve">, </w:t>
      </w:r>
      <w:r w:rsidRPr="000D2BB6">
        <w:t>replace</w:t>
      </w:r>
      <w:r>
        <w:t xml:space="preserve"> </w:t>
      </w:r>
      <w:r w:rsidRPr="000D2BB6">
        <w:t>“</w:t>
      </w:r>
      <w:r w:rsidRPr="003335FF">
        <w:t>375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 xml:space="preserve">” </w:t>
      </w:r>
      <w:r w:rsidRPr="000D2BB6">
        <w:lastRenderedPageBreak/>
        <w:t>with “</w:t>
      </w:r>
      <w:r>
        <w:t>425</w:t>
      </w:r>
      <w:r w:rsidRPr="003335FF">
        <w:t xml:space="preserve">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>”</w:t>
      </w:r>
      <w:r>
        <w:t xml:space="preserve"> and </w:t>
      </w:r>
      <w:r w:rsidRPr="000D2BB6">
        <w:t>replace “</w:t>
      </w:r>
      <w:r>
        <w:t>250</w:t>
      </w:r>
      <w:r w:rsidRPr="003335FF">
        <w:t xml:space="preserve">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>” with “</w:t>
      </w:r>
      <w:r w:rsidR="0076319D">
        <w:t>325</w:t>
      </w:r>
      <w:r w:rsidRPr="003335FF">
        <w:t xml:space="preserve">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>”.</w:t>
      </w:r>
    </w:p>
    <w:p w14:paraId="0D6FA114" w14:textId="3F6593BA" w:rsidR="003335FF" w:rsidRDefault="003335FF" w:rsidP="003335FF">
      <w:pPr>
        <w:widowControl w:val="0"/>
        <w:jc w:val="both"/>
      </w:pPr>
    </w:p>
    <w:p w14:paraId="1B9BA3A4" w14:textId="77777777" w:rsidR="00E153E2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11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8(C) </w:t>
      </w:r>
      <w:r w:rsidRPr="0076319D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</w:t>
      </w:r>
      <w:r w:rsidR="00E753B3">
        <w:rPr>
          <w:b/>
          <w:bCs/>
        </w:rPr>
        <w:t>s</w:t>
      </w:r>
      <w:r>
        <w:rPr>
          <w:b/>
          <w:bCs/>
        </w:rPr>
        <w:t xml:space="preserve"> 17</w:t>
      </w:r>
      <w:r w:rsidR="00E753B3">
        <w:rPr>
          <w:b/>
          <w:bCs/>
        </w:rPr>
        <w:t>-</w:t>
      </w:r>
      <w:r w:rsidR="00E153E2">
        <w:rPr>
          <w:b/>
          <w:bCs/>
        </w:rPr>
        <w:t>20</w:t>
      </w:r>
      <w:r>
        <w:t xml:space="preserve">, </w:t>
      </w:r>
      <w:r w:rsidRPr="000D2BB6">
        <w:t>replace</w:t>
      </w:r>
      <w:r>
        <w:t xml:space="preserve"> </w:t>
      </w:r>
      <w:r w:rsidR="00E153E2">
        <w:t>the first paragraph with the following:</w:t>
      </w:r>
    </w:p>
    <w:p w14:paraId="32294B33" w14:textId="77777777" w:rsidR="00E153E2" w:rsidRDefault="00E153E2" w:rsidP="0076319D">
      <w:pPr>
        <w:widowControl w:val="0"/>
        <w:jc w:val="both"/>
      </w:pPr>
    </w:p>
    <w:p w14:paraId="07595FD3" w14:textId="4E4BC8EF" w:rsidR="0076319D" w:rsidRDefault="00E153E2" w:rsidP="0076319D">
      <w:pPr>
        <w:widowControl w:val="0"/>
        <w:jc w:val="both"/>
      </w:pPr>
      <w:r w:rsidRPr="00E153E2">
        <w:t xml:space="preserve">Final pavement marking application of paint shall be placed in </w:t>
      </w:r>
      <w:r w:rsidR="0076319D" w:rsidRPr="0076319D">
        <w:t>1 application of 30 mils wet each</w:t>
      </w:r>
      <w:r>
        <w:t xml:space="preserve"> and </w:t>
      </w:r>
      <w:r w:rsidRPr="00E153E2">
        <w:t>consist of reflective media applied at a rate to immediately</w:t>
      </w:r>
      <w:r>
        <w:t xml:space="preserve"> </w:t>
      </w:r>
      <w:r w:rsidRPr="00E153E2">
        <w:t>obtain the minimum retroreflective values</w:t>
      </w:r>
      <w:r>
        <w:t>.</w:t>
      </w:r>
    </w:p>
    <w:p w14:paraId="0300D2B5" w14:textId="77777777" w:rsidR="0076319D" w:rsidRDefault="0076319D" w:rsidP="0076319D">
      <w:pPr>
        <w:widowControl w:val="0"/>
        <w:jc w:val="both"/>
      </w:pPr>
    </w:p>
    <w:p w14:paraId="1B3BBF5A" w14:textId="64DA94DB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11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8(C) </w:t>
      </w:r>
      <w:r w:rsidRPr="0076319D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 26</w:t>
      </w:r>
      <w:r>
        <w:t xml:space="preserve">, delete </w:t>
      </w:r>
      <w:r w:rsidRPr="000D2BB6">
        <w:t>“</w:t>
      </w:r>
      <w:r w:rsidRPr="0076319D">
        <w:t>15 mil</w:t>
      </w:r>
      <w:r w:rsidRPr="000D2BB6">
        <w:t>”</w:t>
      </w:r>
      <w:r>
        <w:t>.</w:t>
      </w:r>
    </w:p>
    <w:p w14:paraId="7242CA57" w14:textId="77777777" w:rsidR="0076319D" w:rsidRDefault="0076319D" w:rsidP="003335FF">
      <w:pPr>
        <w:widowControl w:val="0"/>
        <w:jc w:val="both"/>
      </w:pPr>
    </w:p>
    <w:p w14:paraId="13E6EEA5" w14:textId="147CA276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11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8(C) </w:t>
      </w:r>
      <w:r w:rsidRPr="0076319D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31</w:t>
      </w:r>
      <w:r>
        <w:t xml:space="preserve">, </w:t>
      </w:r>
      <w:r w:rsidRPr="000D2BB6">
        <w:t>replace</w:t>
      </w:r>
      <w:r>
        <w:t xml:space="preserve"> Table 1205-6 with the following:</w:t>
      </w:r>
    </w:p>
    <w:p w14:paraId="15A2D60B" w14:textId="77777777" w:rsidR="0076319D" w:rsidRDefault="0076319D" w:rsidP="0076319D">
      <w:pPr>
        <w:widowControl w:val="0"/>
        <w:jc w:val="both"/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33"/>
        <w:gridCol w:w="1754"/>
        <w:gridCol w:w="3263"/>
      </w:tblGrid>
      <w:tr w:rsidR="0076319D" w:rsidRPr="00217C98" w14:paraId="1C030B04" w14:textId="77777777" w:rsidTr="007E206E">
        <w:trPr>
          <w:jc w:val="center"/>
        </w:trPr>
        <w:tc>
          <w:tcPr>
            <w:tcW w:w="5000" w:type="pct"/>
            <w:gridSpan w:val="3"/>
            <w:vAlign w:val="center"/>
          </w:tcPr>
          <w:p w14:paraId="4F30BE58" w14:textId="3CE88030" w:rsidR="0076319D" w:rsidRPr="00217C98" w:rsidRDefault="00171CE9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>
              <w:rPr>
                <w:b/>
              </w:rPr>
              <w:t>TABLE 1205-6                                                                                                   R</w:t>
            </w:r>
            <w:r w:rsidR="0076319D" w:rsidRPr="00217C98">
              <w:rPr>
                <w:b/>
              </w:rPr>
              <w:t xml:space="preserve">EFLECTOMETER REQUIREMENTS </w:t>
            </w:r>
            <w:r w:rsidR="0076319D" w:rsidRPr="00217C98">
              <w:rPr>
                <w:b/>
              </w:rPr>
              <w:br/>
              <w:t>FOR PAINT</w:t>
            </w:r>
          </w:p>
        </w:tc>
      </w:tr>
      <w:tr w:rsidR="0076319D" w:rsidRPr="00217C98" w14:paraId="5B5AA814" w14:textId="77777777" w:rsidTr="007E206E">
        <w:trPr>
          <w:jc w:val="center"/>
        </w:trPr>
        <w:tc>
          <w:tcPr>
            <w:tcW w:w="2317" w:type="pct"/>
            <w:vAlign w:val="center"/>
          </w:tcPr>
          <w:p w14:paraId="3BCA5226" w14:textId="77777777" w:rsidR="0076319D" w:rsidRPr="00217C98" w:rsidRDefault="0076319D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 w:rsidRPr="00217C98">
              <w:rPr>
                <w:b/>
              </w:rPr>
              <w:t>Item</w:t>
            </w:r>
          </w:p>
        </w:tc>
        <w:tc>
          <w:tcPr>
            <w:tcW w:w="938" w:type="pct"/>
            <w:vAlign w:val="center"/>
          </w:tcPr>
          <w:p w14:paraId="5BBE5066" w14:textId="77777777" w:rsidR="0076319D" w:rsidRPr="00217C98" w:rsidRDefault="0076319D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 w:rsidRPr="00217C98">
              <w:rPr>
                <w:b/>
              </w:rPr>
              <w:t>Color</w:t>
            </w:r>
          </w:p>
        </w:tc>
        <w:tc>
          <w:tcPr>
            <w:tcW w:w="1745" w:type="pct"/>
            <w:vAlign w:val="center"/>
          </w:tcPr>
          <w:p w14:paraId="2F1F35AB" w14:textId="77777777" w:rsidR="0076319D" w:rsidRPr="00217C98" w:rsidRDefault="0076319D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 w:rsidRPr="00217C98">
              <w:rPr>
                <w:b/>
              </w:rPr>
              <w:t>Reflectivity</w:t>
            </w:r>
          </w:p>
        </w:tc>
      </w:tr>
      <w:tr w:rsidR="0076319D" w:rsidRPr="00217C98" w14:paraId="1A0BEA8D" w14:textId="77777777" w:rsidTr="007E206E">
        <w:trPr>
          <w:jc w:val="center"/>
        </w:trPr>
        <w:tc>
          <w:tcPr>
            <w:tcW w:w="2317" w:type="pct"/>
            <w:vMerge w:val="restart"/>
            <w:vAlign w:val="center"/>
          </w:tcPr>
          <w:p w14:paraId="3FEEE1A1" w14:textId="77777777" w:rsidR="0076319D" w:rsidRPr="00131E6C" w:rsidRDefault="0076319D" w:rsidP="006A310F">
            <w:pPr>
              <w:keepNext/>
              <w:keepLines/>
              <w:suppressLineNumbers/>
              <w:jc w:val="center"/>
            </w:pPr>
            <w:r w:rsidRPr="00131E6C">
              <w:t>Standard Glass Beads</w:t>
            </w:r>
          </w:p>
        </w:tc>
        <w:tc>
          <w:tcPr>
            <w:tcW w:w="938" w:type="pct"/>
            <w:vAlign w:val="center"/>
          </w:tcPr>
          <w:p w14:paraId="4A52B993" w14:textId="77777777" w:rsidR="0076319D" w:rsidRPr="00217C98" w:rsidRDefault="0076319D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 w:rsidRPr="00131E6C">
              <w:t>White</w:t>
            </w:r>
          </w:p>
        </w:tc>
        <w:tc>
          <w:tcPr>
            <w:tcW w:w="1745" w:type="pct"/>
            <w:vAlign w:val="center"/>
          </w:tcPr>
          <w:p w14:paraId="62A61F4E" w14:textId="77777777" w:rsidR="0076319D" w:rsidRPr="00217C98" w:rsidRDefault="0076319D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 w:rsidRPr="00131E6C">
              <w:t>225 mcd/lux/m</w:t>
            </w:r>
            <w:r w:rsidRPr="00217C98">
              <w:rPr>
                <w:vertAlign w:val="superscript"/>
              </w:rPr>
              <w:t>2</w:t>
            </w:r>
          </w:p>
        </w:tc>
      </w:tr>
      <w:tr w:rsidR="0076319D" w:rsidRPr="00217C98" w14:paraId="3DEDB415" w14:textId="77777777" w:rsidTr="007E206E">
        <w:trPr>
          <w:trHeight w:val="296"/>
          <w:jc w:val="center"/>
        </w:trPr>
        <w:tc>
          <w:tcPr>
            <w:tcW w:w="2317" w:type="pct"/>
            <w:vMerge/>
            <w:vAlign w:val="center"/>
          </w:tcPr>
          <w:p w14:paraId="5631D653" w14:textId="77777777" w:rsidR="0076319D" w:rsidRPr="00131E6C" w:rsidRDefault="0076319D" w:rsidP="006A310F">
            <w:pPr>
              <w:keepNext/>
              <w:keepLines/>
              <w:ind w:left="2160"/>
              <w:jc w:val="center"/>
            </w:pPr>
          </w:p>
        </w:tc>
        <w:tc>
          <w:tcPr>
            <w:tcW w:w="938" w:type="pct"/>
            <w:vAlign w:val="center"/>
          </w:tcPr>
          <w:p w14:paraId="50F80358" w14:textId="77777777" w:rsidR="0076319D" w:rsidRPr="00217C98" w:rsidRDefault="0076319D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 w:rsidRPr="00131E6C">
              <w:t>Yellow</w:t>
            </w:r>
          </w:p>
        </w:tc>
        <w:tc>
          <w:tcPr>
            <w:tcW w:w="1745" w:type="pct"/>
            <w:vAlign w:val="center"/>
          </w:tcPr>
          <w:p w14:paraId="55A534F6" w14:textId="77777777" w:rsidR="0076319D" w:rsidRPr="00217C98" w:rsidRDefault="0076319D" w:rsidP="006A310F">
            <w:pPr>
              <w:keepNext/>
              <w:keepLines/>
              <w:suppressLineNumbers/>
              <w:jc w:val="center"/>
              <w:rPr>
                <w:b/>
              </w:rPr>
            </w:pPr>
            <w:r w:rsidRPr="00131E6C">
              <w:t>200 mcd/lux/m</w:t>
            </w:r>
            <w:r w:rsidRPr="00217C98">
              <w:rPr>
                <w:vertAlign w:val="superscript"/>
              </w:rPr>
              <w:t>2</w:t>
            </w:r>
          </w:p>
        </w:tc>
      </w:tr>
      <w:tr w:rsidR="0076319D" w:rsidRPr="00217C98" w14:paraId="5A79A679" w14:textId="77777777" w:rsidTr="007E206E">
        <w:trPr>
          <w:trHeight w:val="296"/>
          <w:jc w:val="center"/>
        </w:trPr>
        <w:tc>
          <w:tcPr>
            <w:tcW w:w="2317" w:type="pct"/>
            <w:vMerge w:val="restart"/>
            <w:vAlign w:val="center"/>
          </w:tcPr>
          <w:p w14:paraId="632266FD" w14:textId="77777777" w:rsidR="0076319D" w:rsidRPr="00131E6C" w:rsidRDefault="0076319D" w:rsidP="006A310F">
            <w:pPr>
              <w:keepNext/>
              <w:keepLines/>
              <w:jc w:val="both"/>
            </w:pPr>
            <w:r>
              <w:t xml:space="preserve">         High Performance Glass Beads</w:t>
            </w:r>
          </w:p>
        </w:tc>
        <w:tc>
          <w:tcPr>
            <w:tcW w:w="938" w:type="pct"/>
            <w:vAlign w:val="center"/>
          </w:tcPr>
          <w:p w14:paraId="39D5DE30" w14:textId="77777777" w:rsidR="0076319D" w:rsidRPr="00131E6C" w:rsidRDefault="0076319D" w:rsidP="006A310F">
            <w:pPr>
              <w:keepNext/>
              <w:keepLines/>
              <w:suppressLineNumbers/>
              <w:jc w:val="center"/>
            </w:pPr>
            <w:r>
              <w:t>White</w:t>
            </w:r>
          </w:p>
        </w:tc>
        <w:tc>
          <w:tcPr>
            <w:tcW w:w="1745" w:type="pct"/>
            <w:vAlign w:val="center"/>
          </w:tcPr>
          <w:p w14:paraId="5CB9AEF4" w14:textId="77777777" w:rsidR="0076319D" w:rsidRPr="00131E6C" w:rsidRDefault="0076319D" w:rsidP="006A310F">
            <w:pPr>
              <w:keepNext/>
              <w:keepLines/>
              <w:suppressLineNumbers/>
              <w:jc w:val="center"/>
            </w:pPr>
            <w:r>
              <w:t>425</w:t>
            </w:r>
            <w:r w:rsidRPr="00131E6C">
              <w:t xml:space="preserve"> mcd/lux/m</w:t>
            </w:r>
            <w:r w:rsidRPr="00217C98">
              <w:rPr>
                <w:vertAlign w:val="superscript"/>
              </w:rPr>
              <w:t>2</w:t>
            </w:r>
          </w:p>
        </w:tc>
      </w:tr>
      <w:tr w:rsidR="0076319D" w:rsidRPr="00217C98" w14:paraId="54551DA2" w14:textId="77777777" w:rsidTr="007E206E">
        <w:trPr>
          <w:trHeight w:val="296"/>
          <w:jc w:val="center"/>
        </w:trPr>
        <w:tc>
          <w:tcPr>
            <w:tcW w:w="2317" w:type="pct"/>
            <w:vMerge/>
            <w:vAlign w:val="center"/>
          </w:tcPr>
          <w:p w14:paraId="07F45603" w14:textId="77777777" w:rsidR="0076319D" w:rsidRPr="00131E6C" w:rsidRDefault="0076319D" w:rsidP="006A310F">
            <w:pPr>
              <w:keepNext/>
              <w:keepLines/>
              <w:ind w:left="2160"/>
              <w:jc w:val="center"/>
            </w:pPr>
          </w:p>
        </w:tc>
        <w:tc>
          <w:tcPr>
            <w:tcW w:w="938" w:type="pct"/>
            <w:vAlign w:val="center"/>
          </w:tcPr>
          <w:p w14:paraId="439473B4" w14:textId="77777777" w:rsidR="0076319D" w:rsidRPr="00131E6C" w:rsidRDefault="0076319D" w:rsidP="006A310F">
            <w:pPr>
              <w:keepNext/>
              <w:keepLines/>
              <w:suppressLineNumbers/>
              <w:jc w:val="center"/>
            </w:pPr>
            <w:r>
              <w:t>Yellow</w:t>
            </w:r>
          </w:p>
        </w:tc>
        <w:tc>
          <w:tcPr>
            <w:tcW w:w="1745" w:type="pct"/>
            <w:vAlign w:val="center"/>
          </w:tcPr>
          <w:p w14:paraId="3127863A" w14:textId="77777777" w:rsidR="0076319D" w:rsidRPr="00131E6C" w:rsidRDefault="0076319D" w:rsidP="006A310F">
            <w:pPr>
              <w:keepNext/>
              <w:keepLines/>
              <w:suppressLineNumbers/>
              <w:jc w:val="center"/>
            </w:pPr>
            <w:r>
              <w:t>325</w:t>
            </w:r>
            <w:r w:rsidRPr="00131E6C">
              <w:t xml:space="preserve"> mcd/lux/m</w:t>
            </w:r>
            <w:r w:rsidRPr="00217C98">
              <w:rPr>
                <w:vertAlign w:val="superscript"/>
              </w:rPr>
              <w:t>2</w:t>
            </w:r>
          </w:p>
        </w:tc>
      </w:tr>
    </w:tbl>
    <w:p w14:paraId="73098498" w14:textId="77777777" w:rsidR="0076319D" w:rsidRDefault="0076319D" w:rsidP="0076319D">
      <w:pPr>
        <w:widowControl w:val="0"/>
        <w:jc w:val="both"/>
      </w:pPr>
    </w:p>
    <w:p w14:paraId="6C8115EF" w14:textId="35C7AB95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5-7</w:t>
      </w:r>
      <w:r>
        <w:t xml:space="preserve">, delete </w:t>
      </w:r>
      <w:r w:rsidR="00EF2F90">
        <w:t xml:space="preserve">and replace </w:t>
      </w:r>
      <w:r>
        <w:t>the second sentence of the first paragraph</w:t>
      </w:r>
      <w:r w:rsidR="00EF2F90">
        <w:t xml:space="preserve"> with the following:</w:t>
      </w:r>
    </w:p>
    <w:p w14:paraId="4890E7D8" w14:textId="77777777" w:rsidR="00EF2F90" w:rsidRDefault="00EF2F90" w:rsidP="0076319D">
      <w:pPr>
        <w:widowControl w:val="0"/>
        <w:jc w:val="both"/>
      </w:pPr>
    </w:p>
    <w:p w14:paraId="60DE76C2" w14:textId="0F215BEF" w:rsidR="00EF2F90" w:rsidRDefault="00EF2F90" w:rsidP="0076319D">
      <w:pPr>
        <w:widowControl w:val="0"/>
        <w:jc w:val="both"/>
      </w:pPr>
      <w:r w:rsidRPr="00131E6C">
        <w:t xml:space="preserve">In addition, </w:t>
      </w:r>
      <w:r w:rsidRPr="00131E6C">
        <w:rPr>
          <w:i/>
        </w:rPr>
        <w:t>Paint Pavement Marking Lines</w:t>
      </w:r>
      <w:r w:rsidRPr="00131E6C">
        <w:t xml:space="preserve"> will be paid per linear foot for each 15 mil application placed in accordance with Subarticle 1205-8(C)</w:t>
      </w:r>
      <w:r>
        <w:t xml:space="preserve"> </w:t>
      </w:r>
      <w:r w:rsidRPr="002C2A3C">
        <w:t>for temporary pavement markings during temporary traffic patterns</w:t>
      </w:r>
      <w:r>
        <w:t>.</w:t>
      </w:r>
    </w:p>
    <w:p w14:paraId="2F336B96" w14:textId="77777777" w:rsidR="0076319D" w:rsidRDefault="0076319D" w:rsidP="0076319D">
      <w:pPr>
        <w:widowControl w:val="0"/>
        <w:jc w:val="both"/>
      </w:pPr>
    </w:p>
    <w:p w14:paraId="611ABBE3" w14:textId="480E46C0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12-14</w:t>
      </w:r>
      <w:r>
        <w:t xml:space="preserve">, delete </w:t>
      </w:r>
      <w:r w:rsidR="00EF2F90">
        <w:t xml:space="preserve">and replace </w:t>
      </w:r>
      <w:r>
        <w:t>the second sentence of the second paragraph</w:t>
      </w:r>
      <w:r w:rsidR="00EF2F90">
        <w:t xml:space="preserve"> with the following:</w:t>
      </w:r>
    </w:p>
    <w:p w14:paraId="4CE2D02A" w14:textId="77777777" w:rsidR="00EF2F90" w:rsidRDefault="00EF2F90" w:rsidP="0076319D">
      <w:pPr>
        <w:widowControl w:val="0"/>
        <w:jc w:val="both"/>
      </w:pPr>
    </w:p>
    <w:p w14:paraId="68BEB791" w14:textId="1C49B405" w:rsidR="00EF2F90" w:rsidRDefault="00EF2F90" w:rsidP="0076319D">
      <w:pPr>
        <w:widowControl w:val="0"/>
        <w:jc w:val="both"/>
      </w:pPr>
      <w:r w:rsidRPr="00131E6C">
        <w:t xml:space="preserve">In addition, </w:t>
      </w:r>
      <w:r w:rsidRPr="00131E6C">
        <w:rPr>
          <w:i/>
        </w:rPr>
        <w:t>Paint Pavement Marking Symbols</w:t>
      </w:r>
      <w:r w:rsidRPr="00131E6C">
        <w:t xml:space="preserve"> will be paid for each 15 mil application placed in accordance with Subarticle 1205-8(C)</w:t>
      </w:r>
      <w:r>
        <w:t xml:space="preserve"> </w:t>
      </w:r>
      <w:r w:rsidRPr="002C2A3C">
        <w:t>for temporary pavement markings during temporary traffic patterns</w:t>
      </w:r>
      <w:r w:rsidRPr="00131E6C">
        <w:t>.</w:t>
      </w:r>
    </w:p>
    <w:p w14:paraId="21A564DA" w14:textId="77777777" w:rsidR="0076319D" w:rsidRDefault="0076319D" w:rsidP="0076319D">
      <w:pPr>
        <w:widowControl w:val="0"/>
        <w:jc w:val="both"/>
      </w:pPr>
    </w:p>
    <w:p w14:paraId="5FEB484C" w14:textId="66BD027F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17-19</w:t>
      </w:r>
      <w:r>
        <w:t xml:space="preserve">, delete </w:t>
      </w:r>
      <w:r w:rsidR="00EF2F90">
        <w:t xml:space="preserve">and replace </w:t>
      </w:r>
      <w:r>
        <w:t>the third sentence of the third paragraph</w:t>
      </w:r>
      <w:r w:rsidR="00EF2F90">
        <w:t xml:space="preserve"> with the following:</w:t>
      </w:r>
    </w:p>
    <w:p w14:paraId="2DFA39A2" w14:textId="77777777" w:rsidR="00EF2F90" w:rsidRDefault="00EF2F90" w:rsidP="0076319D">
      <w:pPr>
        <w:widowControl w:val="0"/>
        <w:jc w:val="both"/>
      </w:pPr>
    </w:p>
    <w:p w14:paraId="19C1ADF1" w14:textId="78EF953E" w:rsidR="00EF2F90" w:rsidRDefault="00EF2F90" w:rsidP="0076319D">
      <w:pPr>
        <w:widowControl w:val="0"/>
        <w:jc w:val="both"/>
      </w:pPr>
      <w:r w:rsidRPr="00131E6C">
        <w:t xml:space="preserve">In addition, </w:t>
      </w:r>
      <w:r w:rsidRPr="00131E6C">
        <w:rPr>
          <w:i/>
        </w:rPr>
        <w:t>Paint Pavement Marking Characters</w:t>
      </w:r>
      <w:r w:rsidRPr="00131E6C">
        <w:t xml:space="preserve"> will be paid for each 15 mil application placed in accordance with Subarticle 1205-8(C)</w:t>
      </w:r>
      <w:r>
        <w:t xml:space="preserve"> </w:t>
      </w:r>
      <w:r w:rsidRPr="002C2A3C">
        <w:t>for temporary pavement markings during temporary traffic patterns</w:t>
      </w:r>
      <w:r w:rsidRPr="00131E6C">
        <w:t>.</w:t>
      </w:r>
    </w:p>
    <w:p w14:paraId="771E4934" w14:textId="77777777" w:rsidR="0076319D" w:rsidRDefault="0076319D" w:rsidP="0076319D">
      <w:pPr>
        <w:widowControl w:val="0"/>
        <w:jc w:val="both"/>
      </w:pPr>
    </w:p>
    <w:p w14:paraId="4FC6AE01" w14:textId="3E9696AD" w:rsidR="008170C0" w:rsidRDefault="008170C0" w:rsidP="008170C0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17-19</w:t>
      </w:r>
      <w:r>
        <w:t>, replace the second sentence of the ninth paragraph with the following:</w:t>
      </w:r>
    </w:p>
    <w:p w14:paraId="62B31369" w14:textId="3AA10EEF" w:rsidR="0076319D" w:rsidRDefault="0076319D" w:rsidP="0076319D">
      <w:pPr>
        <w:widowControl w:val="0"/>
        <w:jc w:val="both"/>
      </w:pPr>
    </w:p>
    <w:p w14:paraId="6A2C3A42" w14:textId="737C1528" w:rsidR="00585B5D" w:rsidRPr="008170C0" w:rsidRDefault="008170C0" w:rsidP="008170C0">
      <w:pPr>
        <w:widowControl w:val="0"/>
        <w:jc w:val="both"/>
      </w:pPr>
      <w:r w:rsidRPr="008170C0">
        <w:t xml:space="preserve">No direct payment will be made for the work involved in applying the lines, including but not limited </w:t>
      </w:r>
      <w:r w:rsidR="00E753B3" w:rsidRPr="008170C0">
        <w:t>to</w:t>
      </w:r>
      <w:r w:rsidRPr="008170C0">
        <w:t xml:space="preserve"> surface preparation, reapplication of molten pavement marking crossed by a vehicle, removal of all pavement marking materials spilled on the roadway surface, and repair of markings tracked by a vehicle.</w:t>
      </w:r>
    </w:p>
    <w:p w14:paraId="775F31AB" w14:textId="77777777" w:rsidR="0076319D" w:rsidRDefault="0076319D" w:rsidP="004E2CB6">
      <w:pPr>
        <w:widowControl w:val="0"/>
        <w:jc w:val="both"/>
        <w:rPr>
          <w:b/>
          <w:bCs/>
        </w:rPr>
      </w:pPr>
    </w:p>
    <w:p w14:paraId="32CB81F0" w14:textId="32F4C581" w:rsidR="008170C0" w:rsidRDefault="008170C0" w:rsidP="008170C0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13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line </w:t>
      </w:r>
      <w:r w:rsidR="00E753B3">
        <w:rPr>
          <w:b/>
          <w:bCs/>
        </w:rPr>
        <w:t>12</w:t>
      </w:r>
      <w:r>
        <w:t>, add the following to the pay item and pay unit list:</w:t>
      </w:r>
    </w:p>
    <w:p w14:paraId="42AC67D5" w14:textId="77777777" w:rsidR="0076319D" w:rsidRDefault="0076319D" w:rsidP="004E2CB6">
      <w:pPr>
        <w:widowControl w:val="0"/>
        <w:jc w:val="both"/>
        <w:rPr>
          <w:b/>
          <w:bCs/>
        </w:rPr>
      </w:pPr>
    </w:p>
    <w:tbl>
      <w:tblPr>
        <w:tblW w:w="4857" w:type="pct"/>
        <w:tblLook w:val="01E0" w:firstRow="1" w:lastRow="1" w:firstColumn="1" w:lastColumn="1" w:noHBand="0" w:noVBand="0"/>
      </w:tblPr>
      <w:tblGrid>
        <w:gridCol w:w="2986"/>
        <w:gridCol w:w="4417"/>
        <w:gridCol w:w="1689"/>
      </w:tblGrid>
      <w:tr w:rsidR="008170C0" w:rsidRPr="00131E6C" w14:paraId="2E19AE25" w14:textId="77777777" w:rsidTr="007E206E">
        <w:tc>
          <w:tcPr>
            <w:tcW w:w="1642" w:type="pct"/>
          </w:tcPr>
          <w:p w14:paraId="0C65E0CF" w14:textId="77777777" w:rsidR="008170C0" w:rsidRPr="00131E6C" w:rsidRDefault="008170C0" w:rsidP="007E206E">
            <w:pPr>
              <w:rPr>
                <w:b/>
              </w:rPr>
            </w:pPr>
            <w:r w:rsidRPr="00131E6C">
              <w:rPr>
                <w:b/>
              </w:rPr>
              <w:t>Pay Item</w:t>
            </w:r>
          </w:p>
        </w:tc>
        <w:tc>
          <w:tcPr>
            <w:tcW w:w="2429" w:type="pct"/>
          </w:tcPr>
          <w:p w14:paraId="3B6E2D22" w14:textId="77777777" w:rsidR="008170C0" w:rsidRPr="00131E6C" w:rsidRDefault="008170C0" w:rsidP="007E206E">
            <w:pPr>
              <w:rPr>
                <w:b/>
              </w:rPr>
            </w:pPr>
          </w:p>
        </w:tc>
        <w:tc>
          <w:tcPr>
            <w:tcW w:w="929" w:type="pct"/>
          </w:tcPr>
          <w:p w14:paraId="0CC64A36" w14:textId="77777777" w:rsidR="008170C0" w:rsidRPr="00131E6C" w:rsidRDefault="008170C0" w:rsidP="007E206E">
            <w:pPr>
              <w:rPr>
                <w:b/>
              </w:rPr>
            </w:pPr>
            <w:r w:rsidRPr="00131E6C">
              <w:rPr>
                <w:b/>
              </w:rPr>
              <w:t>Pay Unit</w:t>
            </w:r>
          </w:p>
        </w:tc>
      </w:tr>
      <w:tr w:rsidR="008170C0" w:rsidRPr="00131E6C" w14:paraId="44DCBFE8" w14:textId="77777777" w:rsidTr="007E206E">
        <w:trPr>
          <w:trHeight w:val="245"/>
        </w:trPr>
        <w:tc>
          <w:tcPr>
            <w:tcW w:w="4071" w:type="pct"/>
            <w:gridSpan w:val="2"/>
          </w:tcPr>
          <w:p w14:paraId="2A3A8195" w14:textId="3D962A50" w:rsidR="008170C0" w:rsidRPr="00131E6C" w:rsidRDefault="008170C0" w:rsidP="007E206E">
            <w:pPr>
              <w:ind w:left="360" w:hanging="360"/>
            </w:pPr>
            <w:r w:rsidRPr="008170C0">
              <w:t>Integrated Multipolymer Pavement Marking Lines, __”, __ mils</w:t>
            </w:r>
          </w:p>
        </w:tc>
        <w:tc>
          <w:tcPr>
            <w:tcW w:w="929" w:type="pct"/>
          </w:tcPr>
          <w:p w14:paraId="2189F730" w14:textId="0703CA5C" w:rsidR="008170C0" w:rsidRPr="00131E6C" w:rsidRDefault="008170C0" w:rsidP="007E206E">
            <w:r w:rsidRPr="008170C0">
              <w:t>Linear Foot</w:t>
            </w:r>
          </w:p>
        </w:tc>
      </w:tr>
      <w:tr w:rsidR="008170C0" w:rsidRPr="00131E6C" w14:paraId="00A971B1" w14:textId="77777777" w:rsidTr="007E206E">
        <w:trPr>
          <w:trHeight w:val="245"/>
        </w:trPr>
        <w:tc>
          <w:tcPr>
            <w:tcW w:w="4071" w:type="pct"/>
            <w:gridSpan w:val="2"/>
          </w:tcPr>
          <w:p w14:paraId="1A267CEB" w14:textId="7379D0C9" w:rsidR="008170C0" w:rsidRPr="00131E6C" w:rsidRDefault="008170C0" w:rsidP="007E206E">
            <w:pPr>
              <w:ind w:left="360" w:hanging="360"/>
            </w:pPr>
            <w:r w:rsidRPr="008170C0">
              <w:t>Integrated Multipolymer Pavement Marking Symbols, __ mils</w:t>
            </w:r>
          </w:p>
        </w:tc>
        <w:tc>
          <w:tcPr>
            <w:tcW w:w="929" w:type="pct"/>
          </w:tcPr>
          <w:p w14:paraId="0D513D4D" w14:textId="67D0CEB5" w:rsidR="008170C0" w:rsidRPr="00131E6C" w:rsidRDefault="008170C0" w:rsidP="007E206E">
            <w:r w:rsidRPr="008170C0">
              <w:t>Each</w:t>
            </w:r>
          </w:p>
        </w:tc>
      </w:tr>
      <w:tr w:rsidR="008170C0" w:rsidRPr="00131E6C" w14:paraId="75061DDF" w14:textId="77777777" w:rsidTr="008170C0">
        <w:trPr>
          <w:trHeight w:val="342"/>
        </w:trPr>
        <w:tc>
          <w:tcPr>
            <w:tcW w:w="4071" w:type="pct"/>
            <w:gridSpan w:val="2"/>
          </w:tcPr>
          <w:p w14:paraId="7F7B480C" w14:textId="287B5CD5" w:rsidR="008170C0" w:rsidRPr="00131E6C" w:rsidRDefault="008170C0" w:rsidP="007E206E">
            <w:pPr>
              <w:ind w:left="360" w:hanging="360"/>
            </w:pPr>
            <w:r w:rsidRPr="008170C0">
              <w:t>Integrated Multipolymer Pavement Marking Characters, __ mils</w:t>
            </w:r>
          </w:p>
        </w:tc>
        <w:tc>
          <w:tcPr>
            <w:tcW w:w="929" w:type="pct"/>
          </w:tcPr>
          <w:p w14:paraId="3787EFC5" w14:textId="646926DB" w:rsidR="008170C0" w:rsidRPr="00131E6C" w:rsidRDefault="008170C0" w:rsidP="007E206E">
            <w:r w:rsidRPr="008170C0">
              <w:t>Each</w:t>
            </w:r>
          </w:p>
        </w:tc>
      </w:tr>
    </w:tbl>
    <w:p w14:paraId="7E1B1725" w14:textId="77777777" w:rsidR="002C06A1" w:rsidRDefault="002C06A1" w:rsidP="00DA1BC6">
      <w:pPr>
        <w:jc w:val="both"/>
        <w:rPr>
          <w:b/>
          <w:bCs/>
        </w:rPr>
      </w:pPr>
    </w:p>
    <w:sectPr w:rsidR="002C06A1">
      <w:head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87B1" w14:textId="77777777" w:rsidR="000F36DE" w:rsidRDefault="000F36DE">
      <w:r>
        <w:separator/>
      </w:r>
    </w:p>
  </w:endnote>
  <w:endnote w:type="continuationSeparator" w:id="0">
    <w:p w14:paraId="2AEB2239" w14:textId="77777777" w:rsidR="000F36DE" w:rsidRDefault="000F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73E7" w14:textId="77777777" w:rsidR="000F36DE" w:rsidRDefault="000F36DE">
      <w:r>
        <w:separator/>
      </w:r>
    </w:p>
  </w:footnote>
  <w:footnote w:type="continuationSeparator" w:id="0">
    <w:p w14:paraId="397F501D" w14:textId="77777777" w:rsidR="000F36DE" w:rsidRDefault="000F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1D32" w14:textId="77777777" w:rsidR="00A01B0F" w:rsidRPr="00AF68C4" w:rsidRDefault="00A01B0F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E0968"/>
    <w:multiLevelType w:val="multilevel"/>
    <w:tmpl w:val="880CDE32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(W1)" w:hAnsi="Times New (W1)" w:hint="default"/>
        <w:b/>
        <w:i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sz w:val="2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0A7772"/>
    <w:multiLevelType w:val="multilevel"/>
    <w:tmpl w:val="880CDE32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(W1)" w:hAnsi="Times New (W1)" w:hint="default"/>
        <w:b/>
        <w:i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sz w:val="2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73531575">
    <w:abstractNumId w:val="0"/>
  </w:num>
  <w:num w:numId="2" w16cid:durableId="1264071122">
    <w:abstractNumId w:val="2"/>
  </w:num>
  <w:num w:numId="3" w16cid:durableId="42731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5"/>
    <w:rsid w:val="00014EC1"/>
    <w:rsid w:val="00050BF0"/>
    <w:rsid w:val="0005130C"/>
    <w:rsid w:val="00072804"/>
    <w:rsid w:val="00075B39"/>
    <w:rsid w:val="00094D97"/>
    <w:rsid w:val="000C19C3"/>
    <w:rsid w:val="000C49B7"/>
    <w:rsid w:val="000D2BB6"/>
    <w:rsid w:val="000D6E26"/>
    <w:rsid w:val="000E771C"/>
    <w:rsid w:val="000F36DE"/>
    <w:rsid w:val="00102729"/>
    <w:rsid w:val="00102CA7"/>
    <w:rsid w:val="00122E8B"/>
    <w:rsid w:val="00126209"/>
    <w:rsid w:val="00131215"/>
    <w:rsid w:val="00137719"/>
    <w:rsid w:val="00144D78"/>
    <w:rsid w:val="001509A4"/>
    <w:rsid w:val="00152C15"/>
    <w:rsid w:val="00171CE9"/>
    <w:rsid w:val="0017336F"/>
    <w:rsid w:val="001A7B3B"/>
    <w:rsid w:val="001C1532"/>
    <w:rsid w:val="001C1782"/>
    <w:rsid w:val="002007B9"/>
    <w:rsid w:val="00256372"/>
    <w:rsid w:val="00257DD2"/>
    <w:rsid w:val="00264F23"/>
    <w:rsid w:val="00285BE3"/>
    <w:rsid w:val="00286AF2"/>
    <w:rsid w:val="002B124D"/>
    <w:rsid w:val="002B6943"/>
    <w:rsid w:val="002C06A1"/>
    <w:rsid w:val="002E112D"/>
    <w:rsid w:val="00306A98"/>
    <w:rsid w:val="003335FF"/>
    <w:rsid w:val="003422B7"/>
    <w:rsid w:val="003444E6"/>
    <w:rsid w:val="00364307"/>
    <w:rsid w:val="00373A70"/>
    <w:rsid w:val="00374181"/>
    <w:rsid w:val="003B55A9"/>
    <w:rsid w:val="003C7494"/>
    <w:rsid w:val="003F2A56"/>
    <w:rsid w:val="00410DD9"/>
    <w:rsid w:val="00444018"/>
    <w:rsid w:val="0045401A"/>
    <w:rsid w:val="004547CD"/>
    <w:rsid w:val="004562DB"/>
    <w:rsid w:val="00457B45"/>
    <w:rsid w:val="00461AC4"/>
    <w:rsid w:val="0046466E"/>
    <w:rsid w:val="004672E0"/>
    <w:rsid w:val="00472829"/>
    <w:rsid w:val="00483823"/>
    <w:rsid w:val="004A567A"/>
    <w:rsid w:val="004B3016"/>
    <w:rsid w:val="004B71B2"/>
    <w:rsid w:val="004C2E6A"/>
    <w:rsid w:val="004E2CB6"/>
    <w:rsid w:val="004E5411"/>
    <w:rsid w:val="004F1661"/>
    <w:rsid w:val="004F6BDD"/>
    <w:rsid w:val="0052502B"/>
    <w:rsid w:val="00541DF1"/>
    <w:rsid w:val="00552223"/>
    <w:rsid w:val="005532C7"/>
    <w:rsid w:val="00556CC3"/>
    <w:rsid w:val="00557D6C"/>
    <w:rsid w:val="005610F8"/>
    <w:rsid w:val="00571280"/>
    <w:rsid w:val="00572080"/>
    <w:rsid w:val="00585B5D"/>
    <w:rsid w:val="005A553E"/>
    <w:rsid w:val="005B6318"/>
    <w:rsid w:val="005D5160"/>
    <w:rsid w:val="005D5ED2"/>
    <w:rsid w:val="005E4A58"/>
    <w:rsid w:val="005E5A53"/>
    <w:rsid w:val="005E7C12"/>
    <w:rsid w:val="0060230F"/>
    <w:rsid w:val="00642BE3"/>
    <w:rsid w:val="00647761"/>
    <w:rsid w:val="00673A77"/>
    <w:rsid w:val="006917BD"/>
    <w:rsid w:val="006A310F"/>
    <w:rsid w:val="006A55F1"/>
    <w:rsid w:val="006A5FB9"/>
    <w:rsid w:val="006B166E"/>
    <w:rsid w:val="006D5DE6"/>
    <w:rsid w:val="006E6FA8"/>
    <w:rsid w:val="006E7982"/>
    <w:rsid w:val="007203B2"/>
    <w:rsid w:val="00725205"/>
    <w:rsid w:val="00741121"/>
    <w:rsid w:val="007507C9"/>
    <w:rsid w:val="0076319D"/>
    <w:rsid w:val="00785A00"/>
    <w:rsid w:val="00785B24"/>
    <w:rsid w:val="00786260"/>
    <w:rsid w:val="00786873"/>
    <w:rsid w:val="007A47BC"/>
    <w:rsid w:val="007B17AF"/>
    <w:rsid w:val="007B38A2"/>
    <w:rsid w:val="007C27F4"/>
    <w:rsid w:val="007C3606"/>
    <w:rsid w:val="007D5402"/>
    <w:rsid w:val="007F18BF"/>
    <w:rsid w:val="007F5B86"/>
    <w:rsid w:val="008107F5"/>
    <w:rsid w:val="0081312B"/>
    <w:rsid w:val="008170C0"/>
    <w:rsid w:val="008407FA"/>
    <w:rsid w:val="00844106"/>
    <w:rsid w:val="00845390"/>
    <w:rsid w:val="00847AA3"/>
    <w:rsid w:val="00855E65"/>
    <w:rsid w:val="008562A0"/>
    <w:rsid w:val="008775F7"/>
    <w:rsid w:val="0089280D"/>
    <w:rsid w:val="008C4D6C"/>
    <w:rsid w:val="008C5C9F"/>
    <w:rsid w:val="009062A5"/>
    <w:rsid w:val="00967BBA"/>
    <w:rsid w:val="00983E9B"/>
    <w:rsid w:val="0098716C"/>
    <w:rsid w:val="0099601B"/>
    <w:rsid w:val="009B3B10"/>
    <w:rsid w:val="009B5967"/>
    <w:rsid w:val="00A01B0F"/>
    <w:rsid w:val="00A01E45"/>
    <w:rsid w:val="00A207D0"/>
    <w:rsid w:val="00A2147E"/>
    <w:rsid w:val="00A507F7"/>
    <w:rsid w:val="00A6202F"/>
    <w:rsid w:val="00A756E3"/>
    <w:rsid w:val="00AB6D61"/>
    <w:rsid w:val="00AC55F0"/>
    <w:rsid w:val="00AC6F15"/>
    <w:rsid w:val="00AC7C11"/>
    <w:rsid w:val="00AE1594"/>
    <w:rsid w:val="00AF68C4"/>
    <w:rsid w:val="00B0035A"/>
    <w:rsid w:val="00B233E9"/>
    <w:rsid w:val="00B33F88"/>
    <w:rsid w:val="00B355EA"/>
    <w:rsid w:val="00B604C9"/>
    <w:rsid w:val="00B812E8"/>
    <w:rsid w:val="00BC3E6A"/>
    <w:rsid w:val="00BD3E45"/>
    <w:rsid w:val="00BD6E2C"/>
    <w:rsid w:val="00BE7FCC"/>
    <w:rsid w:val="00C03E05"/>
    <w:rsid w:val="00C43454"/>
    <w:rsid w:val="00C608A3"/>
    <w:rsid w:val="00C96578"/>
    <w:rsid w:val="00CA02A7"/>
    <w:rsid w:val="00CA13DE"/>
    <w:rsid w:val="00CA38EB"/>
    <w:rsid w:val="00CA7CEC"/>
    <w:rsid w:val="00CB05D1"/>
    <w:rsid w:val="00CB1F50"/>
    <w:rsid w:val="00CB4126"/>
    <w:rsid w:val="00CC615B"/>
    <w:rsid w:val="00CD2FED"/>
    <w:rsid w:val="00CD5CDF"/>
    <w:rsid w:val="00D01482"/>
    <w:rsid w:val="00D14AAC"/>
    <w:rsid w:val="00D23D1D"/>
    <w:rsid w:val="00DA1BC6"/>
    <w:rsid w:val="00DD6593"/>
    <w:rsid w:val="00DF4435"/>
    <w:rsid w:val="00E0255E"/>
    <w:rsid w:val="00E14142"/>
    <w:rsid w:val="00E153E2"/>
    <w:rsid w:val="00E3521F"/>
    <w:rsid w:val="00E5534D"/>
    <w:rsid w:val="00E56026"/>
    <w:rsid w:val="00E753B3"/>
    <w:rsid w:val="00EC00E6"/>
    <w:rsid w:val="00ED6713"/>
    <w:rsid w:val="00EE1F39"/>
    <w:rsid w:val="00EE491A"/>
    <w:rsid w:val="00EE5ACD"/>
    <w:rsid w:val="00EF2F90"/>
    <w:rsid w:val="00EF57E6"/>
    <w:rsid w:val="00F13C16"/>
    <w:rsid w:val="00F15528"/>
    <w:rsid w:val="00F26219"/>
    <w:rsid w:val="00F34C9F"/>
    <w:rsid w:val="00F40CE0"/>
    <w:rsid w:val="00F40D9F"/>
    <w:rsid w:val="00F60E88"/>
    <w:rsid w:val="00F62CB0"/>
    <w:rsid w:val="00F659E6"/>
    <w:rsid w:val="00F6788C"/>
    <w:rsid w:val="00FA1F69"/>
    <w:rsid w:val="00FA4337"/>
    <w:rsid w:val="00FA6BE2"/>
    <w:rsid w:val="00FD05FE"/>
    <w:rsid w:val="00FE3AE6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B05C9"/>
  <w15:docId w15:val="{46477927-EADA-4B92-935D-04BBE24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0C0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paragraph" w:styleId="BalloonText">
    <w:name w:val="Balloon Text"/>
    <w:basedOn w:val="Normal"/>
    <w:link w:val="BalloonTextChar"/>
    <w:rsid w:val="00CB1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F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E49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49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49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91A"/>
    <w:rPr>
      <w:b/>
      <w:bCs/>
    </w:rPr>
  </w:style>
  <w:style w:type="paragraph" w:styleId="Revision">
    <w:name w:val="Revision"/>
    <w:hidden/>
    <w:uiPriority w:val="99"/>
    <w:semiHidden/>
    <w:rsid w:val="004F6B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21" ma:contentTypeDescription="Create a new document." ma:contentTypeScope="" ma:versionID="91561bab295627c3ca08ad8ad9a331b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ategory xmlns="5e7874b7-19b8-4222-9f87-80bf0b085ea3"/>
    <Provision xmlns="5e7874b7-19b8-4222-9f87-80bf0b085ea3">PAVEMENT MARKINGS</Provision>
    <Geotech_x0020_Reference xmlns="5e7874b7-19b8-4222-9f87-80bf0b085ea3">false</Geotech_x0020_Reference>
    <No_x002e_ xmlns="5e7874b7-19b8-4222-9f87-80bf0b085ea3">SP12R</No_x002e_>
    <Provision_x0020_Number xmlns="5e7874b7-19b8-4222-9f87-80bf0b085ea3">SP12 R004</Provision_x0020_Number>
    <Let_x0020_Date xmlns="5e7874b7-19b8-4222-9f87-80bf0b085ea3">2026-06</Let_x0020_Date>
    <_dlc_DocIdPersistId xmlns="16f00c2e-ac5c-418b-9f13-a0771dbd417d" xsi:nil="true"/>
    <IconOverlay xmlns="http://schemas.microsoft.com/sharepoint/v4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B1E8DEE1-F866-4BBE-A608-0C4A3047A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BADCA-D159-48C9-B41F-4EEF5BD92665}"/>
</file>

<file path=customXml/itemProps3.xml><?xml version="1.0" encoding="utf-8"?>
<ds:datastoreItem xmlns:ds="http://schemas.openxmlformats.org/officeDocument/2006/customXml" ds:itemID="{02CA26CA-DB71-4615-9B2D-3D6C0DA1586E}"/>
</file>

<file path=customXml/itemProps4.xml><?xml version="1.0" encoding="utf-8"?>
<ds:datastoreItem xmlns:ds="http://schemas.openxmlformats.org/officeDocument/2006/customXml" ds:itemID="{041F1B4E-A362-44A3-A6F5-0027256821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A81198-47B1-4E77-A63E-D4F75BAAD512}">
  <ds:schemaRefs>
    <ds:schemaRef ds:uri="http://schemas.microsoft.com/office/2006/metadata/properties"/>
    <ds:schemaRef ds:uri="http://schemas.microsoft.com/office/infopath/2007/PartnerControls"/>
    <ds:schemaRef ds:uri="9425e8c1-9722-47a7-a606-4c34966ca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9554</Characters>
  <Application>Microsoft Office Word</Application>
  <DocSecurity>0</DocSecurity>
  <Lines>308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ZONE INSTALLER</vt:lpstr>
    </vt:vector>
  </TitlesOfParts>
  <Company>NCDOT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SPECIAL PROVISIONS</dc:title>
  <dc:creator>fadams</dc:creator>
  <cp:lastModifiedBy>Penny, Lisa E</cp:lastModifiedBy>
  <cp:revision>6</cp:revision>
  <cp:lastPrinted>2011-09-07T15:28:00Z</cp:lastPrinted>
  <dcterms:created xsi:type="dcterms:W3CDTF">2026-04-14T14:35:00Z</dcterms:created>
  <dcterms:modified xsi:type="dcterms:W3CDTF">2026-04-16T13:37:00Z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e22f0367-c144-4e95-974f-77312d3f9111</vt:lpwstr>
  </property>
  <property fmtid="{D5CDD505-2E9C-101B-9397-08002B2CF9AE}" pid="4" name="Order">
    <vt:r8>29200</vt:r8>
  </property>
</Properties>
</file>